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D0" w:rsidRDefault="00AB2CD0" w:rsidP="00AB2CD0">
      <w:pPr>
        <w:pBdr>
          <w:top w:val="nil"/>
          <w:left w:val="nil"/>
          <w:bottom w:val="nil"/>
          <w:right w:val="nil"/>
          <w:between w:val="nil"/>
        </w:pBdr>
        <w:spacing w:after="240" w:line="240" w:lineRule="auto"/>
        <w:rPr>
          <w:rFonts w:eastAsia="Palatino Linotype" w:cs="Palatino Linotype"/>
          <w:b/>
          <w:sz w:val="36"/>
          <w:szCs w:val="36"/>
        </w:rPr>
      </w:pPr>
      <w:r w:rsidRPr="00AB2CD0">
        <w:rPr>
          <w:rFonts w:eastAsia="Palatino Linotype" w:cs="Palatino Linotype"/>
          <w:b/>
          <w:sz w:val="36"/>
          <w:szCs w:val="36"/>
        </w:rPr>
        <w:t>Transformation of Regional Public Service Agency Governance Based on Good School Governance Towards Financial Independence of Vocational High Schools</w:t>
      </w:r>
    </w:p>
    <w:p w:rsidR="00CE2AFD" w:rsidRDefault="00755079">
      <w:pPr>
        <w:pBdr>
          <w:top w:val="nil"/>
          <w:left w:val="nil"/>
          <w:bottom w:val="nil"/>
          <w:right w:val="nil"/>
          <w:between w:val="nil"/>
        </w:pBdr>
        <w:spacing w:after="360" w:line="240" w:lineRule="auto"/>
        <w:jc w:val="left"/>
        <w:rPr>
          <w:rFonts w:eastAsia="Palatino Linotype" w:cs="Palatino Linotype"/>
          <w:b/>
          <w:u w:val="single"/>
        </w:rPr>
      </w:pPr>
      <w:r>
        <w:rPr>
          <w:rFonts w:eastAsia="Palatino Linotype" w:cs="Palatino Linotype"/>
          <w:b/>
        </w:rPr>
        <w:t>Siraj</w:t>
      </w:r>
      <w:r w:rsidR="00104E7B">
        <w:rPr>
          <w:rFonts w:eastAsia="Palatino Linotype" w:cs="Palatino Linotype"/>
          <w:b/>
        </w:rPr>
        <w:t xml:space="preserve"> </w:t>
      </w:r>
      <w:r w:rsidR="00104E7B">
        <w:rPr>
          <w:rFonts w:eastAsia="Palatino Linotype" w:cs="Palatino Linotype"/>
          <w:b/>
          <w:vertAlign w:val="superscript"/>
        </w:rPr>
        <w:t>1</w:t>
      </w:r>
      <w:r w:rsidR="00DB0D25">
        <w:rPr>
          <w:rFonts w:eastAsia="Palatino Linotype" w:cs="Palatino Linotype"/>
          <w:b/>
        </w:rPr>
        <w:t xml:space="preserve">*, </w:t>
      </w:r>
      <w:r>
        <w:rPr>
          <w:rFonts w:eastAsia="Palatino Linotype" w:cs="Palatino Linotype"/>
          <w:b/>
        </w:rPr>
        <w:t>Syamsul Bahri</w:t>
      </w:r>
      <w:r w:rsidR="00104E7B">
        <w:rPr>
          <w:rFonts w:eastAsia="Palatino Linotype" w:cs="Palatino Linotype"/>
          <w:b/>
        </w:rPr>
        <w:t xml:space="preserve"> </w:t>
      </w:r>
      <w:r w:rsidR="00104E7B">
        <w:rPr>
          <w:rFonts w:eastAsia="Palatino Linotype" w:cs="Palatino Linotype"/>
          <w:b/>
          <w:vertAlign w:val="superscript"/>
        </w:rPr>
        <w:t>2</w:t>
      </w:r>
      <w:r w:rsidR="00DB0D25">
        <w:rPr>
          <w:rFonts w:eastAsia="Palatino Linotype" w:cs="Palatino Linotype"/>
          <w:b/>
        </w:rPr>
        <w:t>, Putri Meurah Intan</w:t>
      </w:r>
      <w:r w:rsidR="00104E7B">
        <w:rPr>
          <w:rFonts w:eastAsia="Palatino Linotype" w:cs="Palatino Linotype"/>
          <w:b/>
        </w:rPr>
        <w:t xml:space="preserve"> </w:t>
      </w:r>
      <w:r w:rsidR="00DB0D25">
        <w:rPr>
          <w:rFonts w:eastAsia="Palatino Linotype" w:cs="Palatino Linotype"/>
          <w:b/>
          <w:vertAlign w:val="superscript"/>
        </w:rPr>
        <w:t>3</w:t>
      </w:r>
      <w:r w:rsidR="00DB0D25">
        <w:rPr>
          <w:rFonts w:eastAsia="Palatino Linotype" w:cs="Palatino Linotype"/>
          <w:b/>
        </w:rPr>
        <w:t xml:space="preserve"> and Adinda Desrina </w:t>
      </w:r>
      <w:r w:rsidR="00DB0D25">
        <w:rPr>
          <w:rFonts w:eastAsia="Palatino Linotype" w:cs="Palatino Linotype"/>
          <w:b/>
          <w:vertAlign w:val="superscript"/>
        </w:rPr>
        <w:t>4</w:t>
      </w:r>
    </w:p>
    <w:p w:rsidR="00CE2AFD" w:rsidRDefault="00104E7B" w:rsidP="00755079">
      <w:pPr>
        <w:pBdr>
          <w:top w:val="nil"/>
          <w:left w:val="nil"/>
          <w:bottom w:val="nil"/>
          <w:right w:val="nil"/>
          <w:between w:val="nil"/>
        </w:pBdr>
        <w:spacing w:line="240" w:lineRule="auto"/>
        <w:ind w:left="426" w:hanging="198"/>
        <w:jc w:val="left"/>
        <w:rPr>
          <w:rFonts w:eastAsia="Palatino Linotype" w:cs="Palatino Linotype"/>
          <w:sz w:val="16"/>
          <w:szCs w:val="16"/>
        </w:rPr>
      </w:pPr>
      <w:r>
        <w:rPr>
          <w:rFonts w:eastAsia="Palatino Linotype" w:cs="Palatino Linotype"/>
          <w:sz w:val="16"/>
          <w:szCs w:val="16"/>
          <w:vertAlign w:val="superscript"/>
        </w:rPr>
        <w:t>1</w:t>
      </w:r>
      <w:r>
        <w:rPr>
          <w:rFonts w:eastAsia="Palatino Linotype" w:cs="Palatino Linotype"/>
          <w:sz w:val="16"/>
          <w:szCs w:val="16"/>
        </w:rPr>
        <w:tab/>
      </w:r>
      <w:r w:rsidR="00755079" w:rsidRPr="00755079">
        <w:rPr>
          <w:rFonts w:eastAsia="Palatino Linotype" w:cs="Palatino Linotype"/>
          <w:sz w:val="16"/>
          <w:szCs w:val="16"/>
        </w:rPr>
        <w:t>Faculty of Teacher Training and Education, Malikussaleh Un</w:t>
      </w:r>
      <w:r w:rsidR="00755079">
        <w:rPr>
          <w:rFonts w:eastAsia="Palatino Linotype" w:cs="Palatino Linotype"/>
          <w:sz w:val="16"/>
          <w:szCs w:val="16"/>
        </w:rPr>
        <w:t>iversity, North Aceh, Indonesia</w:t>
      </w:r>
      <w:r>
        <w:rPr>
          <w:rFonts w:eastAsia="Palatino Linotype" w:cs="Palatino Linotype"/>
          <w:sz w:val="16"/>
          <w:szCs w:val="16"/>
        </w:rPr>
        <w:t xml:space="preserve">; </w:t>
      </w:r>
      <w:r w:rsidR="00755079">
        <w:rPr>
          <w:rFonts w:eastAsia="Palatino Linotype" w:cs="Palatino Linotype"/>
          <w:sz w:val="16"/>
          <w:szCs w:val="16"/>
        </w:rPr>
        <w:t>siraj@unimal.ac.id</w:t>
      </w:r>
    </w:p>
    <w:p w:rsidR="00AB2CD0" w:rsidRDefault="00104E7B" w:rsidP="00AB2CD0">
      <w:pPr>
        <w:pBdr>
          <w:top w:val="nil"/>
          <w:left w:val="nil"/>
          <w:bottom w:val="nil"/>
          <w:right w:val="nil"/>
          <w:between w:val="nil"/>
        </w:pBdr>
        <w:spacing w:line="240" w:lineRule="auto"/>
        <w:ind w:left="426" w:hanging="198"/>
        <w:jc w:val="left"/>
        <w:rPr>
          <w:rFonts w:eastAsia="Palatino Linotype" w:cs="Palatino Linotype"/>
          <w:sz w:val="16"/>
          <w:szCs w:val="16"/>
        </w:rPr>
      </w:pPr>
      <w:r>
        <w:rPr>
          <w:rFonts w:eastAsia="Palatino Linotype" w:cs="Palatino Linotype"/>
          <w:sz w:val="16"/>
          <w:szCs w:val="16"/>
          <w:vertAlign w:val="superscript"/>
        </w:rPr>
        <w:t>2</w:t>
      </w:r>
      <w:r>
        <w:rPr>
          <w:rFonts w:eastAsia="Palatino Linotype" w:cs="Palatino Linotype"/>
          <w:sz w:val="16"/>
          <w:szCs w:val="16"/>
        </w:rPr>
        <w:tab/>
      </w:r>
      <w:r w:rsidR="00AB2CD0">
        <w:rPr>
          <w:rFonts w:eastAsia="Palatino Linotype" w:cs="Palatino Linotype"/>
          <w:sz w:val="16"/>
          <w:szCs w:val="16"/>
        </w:rPr>
        <w:t xml:space="preserve">Faculty of Engineering, </w:t>
      </w:r>
      <w:r w:rsidR="00AB2CD0" w:rsidRPr="00755079">
        <w:rPr>
          <w:rFonts w:eastAsia="Palatino Linotype" w:cs="Palatino Linotype"/>
          <w:sz w:val="16"/>
          <w:szCs w:val="16"/>
        </w:rPr>
        <w:t>Malikussaleh Un</w:t>
      </w:r>
      <w:r w:rsidR="00AB2CD0">
        <w:rPr>
          <w:rFonts w:eastAsia="Palatino Linotype" w:cs="Palatino Linotype"/>
          <w:sz w:val="16"/>
          <w:szCs w:val="16"/>
        </w:rPr>
        <w:t xml:space="preserve">iversity, North Aceh, Indonesia; </w:t>
      </w:r>
      <w:hyperlink r:id="rId9" w:history="1">
        <w:r w:rsidR="00DB0D25" w:rsidRPr="00DB0D25">
          <w:rPr>
            <w:rFonts w:eastAsia="Palatino Linotype" w:cs="Palatino Linotype"/>
            <w:sz w:val="16"/>
            <w:szCs w:val="16"/>
          </w:rPr>
          <w:t>irsyamsulbahri@unimal.ac.id</w:t>
        </w:r>
      </w:hyperlink>
    </w:p>
    <w:p w:rsidR="00DB0D25" w:rsidRDefault="00DB0D25" w:rsidP="00AB2CD0">
      <w:pPr>
        <w:pBdr>
          <w:top w:val="nil"/>
          <w:left w:val="nil"/>
          <w:bottom w:val="nil"/>
          <w:right w:val="nil"/>
          <w:between w:val="nil"/>
        </w:pBdr>
        <w:spacing w:line="240" w:lineRule="auto"/>
        <w:ind w:left="426" w:hanging="198"/>
        <w:jc w:val="left"/>
        <w:rPr>
          <w:rFonts w:eastAsia="Palatino Linotype" w:cs="Palatino Linotype"/>
          <w:sz w:val="16"/>
          <w:szCs w:val="16"/>
        </w:rPr>
      </w:pPr>
      <w:r>
        <w:rPr>
          <w:rFonts w:eastAsia="Palatino Linotype" w:cs="Palatino Linotype"/>
          <w:sz w:val="16"/>
          <w:szCs w:val="16"/>
          <w:vertAlign w:val="superscript"/>
        </w:rPr>
        <w:t>3</w:t>
      </w:r>
      <w:r>
        <w:rPr>
          <w:rFonts w:eastAsia="Palatino Linotype" w:cs="Palatino Linotype"/>
          <w:sz w:val="16"/>
          <w:szCs w:val="16"/>
        </w:rPr>
        <w:tab/>
      </w:r>
      <w:r w:rsidRPr="00755079">
        <w:rPr>
          <w:rFonts w:eastAsia="Palatino Linotype" w:cs="Palatino Linotype"/>
          <w:sz w:val="16"/>
          <w:szCs w:val="16"/>
        </w:rPr>
        <w:t>Faculty of Teacher Training and Education, Malikussaleh Un</w:t>
      </w:r>
      <w:r>
        <w:rPr>
          <w:rFonts w:eastAsia="Palatino Linotype" w:cs="Palatino Linotype"/>
          <w:sz w:val="16"/>
          <w:szCs w:val="16"/>
        </w:rPr>
        <w:t>iversity, North Aceh, Indonesia.</w:t>
      </w:r>
    </w:p>
    <w:p w:rsidR="00DB0D25" w:rsidRDefault="00DB0D25" w:rsidP="00AB2CD0">
      <w:pPr>
        <w:pBdr>
          <w:top w:val="nil"/>
          <w:left w:val="nil"/>
          <w:bottom w:val="nil"/>
          <w:right w:val="nil"/>
          <w:between w:val="nil"/>
        </w:pBdr>
        <w:spacing w:line="240" w:lineRule="auto"/>
        <w:ind w:left="426" w:hanging="198"/>
        <w:jc w:val="left"/>
        <w:rPr>
          <w:rFonts w:eastAsia="Palatino Linotype" w:cs="Palatino Linotype"/>
          <w:sz w:val="16"/>
          <w:szCs w:val="16"/>
        </w:rPr>
      </w:pPr>
      <w:r>
        <w:rPr>
          <w:rFonts w:eastAsia="Palatino Linotype" w:cs="Palatino Linotype"/>
          <w:sz w:val="16"/>
          <w:szCs w:val="16"/>
          <w:vertAlign w:val="superscript"/>
        </w:rPr>
        <w:t>4</w:t>
      </w:r>
      <w:r>
        <w:rPr>
          <w:rFonts w:eastAsia="Palatino Linotype" w:cs="Palatino Linotype"/>
          <w:sz w:val="16"/>
          <w:szCs w:val="16"/>
        </w:rPr>
        <w:tab/>
      </w:r>
      <w:r w:rsidRPr="00755079">
        <w:rPr>
          <w:rFonts w:eastAsia="Palatino Linotype" w:cs="Palatino Linotype"/>
          <w:sz w:val="16"/>
          <w:szCs w:val="16"/>
        </w:rPr>
        <w:t>Faculty of Teacher Training and Education, Malikussaleh Un</w:t>
      </w:r>
      <w:r>
        <w:rPr>
          <w:rFonts w:eastAsia="Palatino Linotype" w:cs="Palatino Linotype"/>
          <w:sz w:val="16"/>
          <w:szCs w:val="16"/>
        </w:rPr>
        <w:t>iversity, North Aceh, Indonesia.</w:t>
      </w:r>
    </w:p>
    <w:p w:rsidR="00CE2AFD" w:rsidRDefault="00104E7B">
      <w:pPr>
        <w:pBdr>
          <w:top w:val="nil"/>
          <w:left w:val="nil"/>
          <w:bottom w:val="nil"/>
          <w:right w:val="nil"/>
          <w:between w:val="nil"/>
        </w:pBdr>
        <w:spacing w:line="240" w:lineRule="auto"/>
        <w:ind w:left="426" w:hanging="198"/>
        <w:jc w:val="left"/>
        <w:rPr>
          <w:rFonts w:eastAsia="Palatino Linotype" w:cs="Palatino Linotype"/>
          <w:sz w:val="16"/>
          <w:szCs w:val="16"/>
        </w:rPr>
      </w:pPr>
      <w:r>
        <w:rPr>
          <w:rFonts w:eastAsia="Palatino Linotype" w:cs="Palatino Linotype"/>
          <w:b/>
          <w:sz w:val="16"/>
          <w:szCs w:val="16"/>
        </w:rPr>
        <w:t>*</w:t>
      </w:r>
      <w:r>
        <w:rPr>
          <w:rFonts w:eastAsia="Palatino Linotype" w:cs="Palatino Linotype"/>
          <w:sz w:val="16"/>
          <w:szCs w:val="16"/>
        </w:rPr>
        <w:tab/>
        <w:t xml:space="preserve">Correspondence: </w:t>
      </w:r>
      <w:r w:rsidR="00AB2CD0">
        <w:rPr>
          <w:rFonts w:eastAsia="Palatino Linotype" w:cs="Palatino Linotype"/>
          <w:sz w:val="16"/>
          <w:szCs w:val="16"/>
        </w:rPr>
        <w:t>siraj@unimal.ac.id</w:t>
      </w:r>
    </w:p>
    <w:p w:rsidR="001053D4" w:rsidRPr="001053D4" w:rsidRDefault="001053D4" w:rsidP="001053D4">
      <w:pPr>
        <w:pBdr>
          <w:top w:val="nil"/>
          <w:left w:val="nil"/>
          <w:bottom w:val="nil"/>
          <w:right w:val="nil"/>
          <w:between w:val="nil"/>
        </w:pBdr>
        <w:spacing w:before="240" w:line="240" w:lineRule="auto"/>
        <w:ind w:left="-2" w:firstLine="1"/>
        <w:rPr>
          <w:rFonts w:eastAsia="Palatino Linotype" w:cs="Palatino Linotype"/>
          <w:sz w:val="18"/>
          <w:szCs w:val="18"/>
        </w:rPr>
      </w:pPr>
      <w:r>
        <w:rPr>
          <w:rFonts w:eastAsia="Palatino Linotype" w:cs="Palatino Linotype"/>
          <w:b/>
          <w:sz w:val="18"/>
          <w:szCs w:val="18"/>
        </w:rPr>
        <w:t xml:space="preserve">Abstract: </w:t>
      </w:r>
      <w:r w:rsidRPr="001053D4">
        <w:rPr>
          <w:rFonts w:eastAsia="Palatino Linotype" w:cs="Palatino Linotype"/>
          <w:sz w:val="18"/>
          <w:szCs w:val="18"/>
        </w:rPr>
        <w:t>Research focused on the transformation of good school governance towards financial independence is still very limited. This study aims to design priority strategies for the Good School Governance. The research method used is a mixed-method approach with a sequential explanatory design, combining quantitative and qualitative methods applied consecutively. This research is important for creating a governance model that incorporates resource standardization, a business model, and effective and efficient performance indicators, enabling schools to achieve financial independence. The novelty of this study lies in the development of a strategic good school governance, which inclu</w:t>
      </w:r>
      <w:r>
        <w:rPr>
          <w:rFonts w:eastAsia="Palatino Linotype" w:cs="Palatino Linotype"/>
          <w:sz w:val="18"/>
          <w:szCs w:val="18"/>
        </w:rPr>
        <w:t xml:space="preserve">des resource standardization, </w:t>
      </w:r>
      <w:r w:rsidRPr="001053D4">
        <w:rPr>
          <w:rFonts w:eastAsia="Palatino Linotype" w:cs="Palatino Linotype"/>
          <w:sz w:val="18"/>
          <w:szCs w:val="18"/>
        </w:rPr>
        <w:t>business model, performance indicators, and financial independence. The implementation system aims to strengthen the role of industrial learning in vocational education institutions, particularly, by aligning existing governance structures, including organizational governance, financial governance, and accountability governance.</w:t>
      </w:r>
    </w:p>
    <w:p w:rsidR="00CE2AFD" w:rsidRDefault="00104E7B">
      <w:pPr>
        <w:pBdr>
          <w:top w:val="nil"/>
          <w:left w:val="nil"/>
          <w:bottom w:val="nil"/>
          <w:right w:val="nil"/>
          <w:between w:val="nil"/>
        </w:pBdr>
        <w:spacing w:before="240" w:line="240" w:lineRule="auto"/>
        <w:ind w:left="-2" w:firstLine="1"/>
        <w:rPr>
          <w:rFonts w:eastAsia="Palatino Linotype" w:cs="Palatino Linotype"/>
          <w:sz w:val="18"/>
          <w:szCs w:val="18"/>
        </w:rPr>
      </w:pPr>
      <w:r>
        <w:rPr>
          <w:rFonts w:eastAsia="Palatino Linotype" w:cs="Palatino Linotype"/>
          <w:b/>
          <w:sz w:val="18"/>
          <w:szCs w:val="18"/>
        </w:rPr>
        <w:t xml:space="preserve">Keywords: </w:t>
      </w:r>
      <w:r w:rsidR="001053D4" w:rsidRPr="001053D4">
        <w:rPr>
          <w:rFonts w:eastAsia="Palatino Linotype" w:cs="Palatino Linotype"/>
          <w:sz w:val="18"/>
          <w:szCs w:val="18"/>
        </w:rPr>
        <w:t>Financial</w:t>
      </w:r>
      <w:r>
        <w:rPr>
          <w:rFonts w:eastAsia="Palatino Linotype" w:cs="Palatino Linotype"/>
          <w:sz w:val="18"/>
          <w:szCs w:val="18"/>
        </w:rPr>
        <w:t xml:space="preserve">; </w:t>
      </w:r>
      <w:r w:rsidR="001053D4" w:rsidRPr="001053D4">
        <w:rPr>
          <w:rFonts w:eastAsia="Palatino Linotype" w:cs="Palatino Linotype"/>
          <w:sz w:val="18"/>
          <w:szCs w:val="18"/>
        </w:rPr>
        <w:t>good school governance</w:t>
      </w:r>
      <w:r>
        <w:rPr>
          <w:rFonts w:eastAsia="Palatino Linotype" w:cs="Palatino Linotype"/>
          <w:sz w:val="18"/>
          <w:szCs w:val="18"/>
        </w:rPr>
        <w:t xml:space="preserve">; </w:t>
      </w:r>
      <w:r w:rsidR="001053D4" w:rsidRPr="001053D4">
        <w:rPr>
          <w:rFonts w:eastAsia="Palatino Linotype" w:cs="Palatino Linotype"/>
          <w:sz w:val="18"/>
          <w:szCs w:val="18"/>
        </w:rPr>
        <w:t>vocational education</w:t>
      </w:r>
    </w:p>
    <w:p w:rsidR="00CE2AFD" w:rsidRDefault="00CE2AFD">
      <w:pPr>
        <w:pBdr>
          <w:top w:val="nil"/>
          <w:left w:val="nil"/>
          <w:bottom w:val="single" w:sz="6" w:space="1" w:color="000000"/>
          <w:right w:val="nil"/>
          <w:between w:val="nil"/>
        </w:pBdr>
        <w:spacing w:after="480" w:line="240" w:lineRule="auto"/>
        <w:rPr>
          <w:rFonts w:eastAsia="Palatino Linotype" w:cs="Palatino Linotype"/>
        </w:rPr>
      </w:pPr>
    </w:p>
    <w:p w:rsidR="00CE2AFD" w:rsidRDefault="00104E7B">
      <w:pPr>
        <w:pBdr>
          <w:top w:val="nil"/>
          <w:left w:val="nil"/>
          <w:bottom w:val="nil"/>
          <w:right w:val="nil"/>
          <w:between w:val="nil"/>
        </w:pBdr>
        <w:spacing w:before="240" w:after="60" w:line="228" w:lineRule="auto"/>
        <w:jc w:val="left"/>
        <w:rPr>
          <w:rFonts w:eastAsia="Palatino Linotype" w:cs="Palatino Linotype"/>
          <w:b/>
        </w:rPr>
      </w:pPr>
      <w:r>
        <w:rPr>
          <w:rFonts w:eastAsia="Palatino Linotype" w:cs="Palatino Linotype"/>
          <w:b/>
        </w:rPr>
        <w:t>1. Introduction</w:t>
      </w:r>
    </w:p>
    <w:p w:rsidR="001053D4" w:rsidRPr="001053D4" w:rsidRDefault="001053D4" w:rsidP="008B4CF5">
      <w:pPr>
        <w:pBdr>
          <w:top w:val="nil"/>
          <w:left w:val="nil"/>
          <w:bottom w:val="nil"/>
          <w:right w:val="nil"/>
          <w:between w:val="nil"/>
        </w:pBdr>
        <w:spacing w:line="228" w:lineRule="auto"/>
        <w:ind w:firstLine="284"/>
        <w:rPr>
          <w:rFonts w:eastAsia="Palatino Linotype" w:cs="Palatino Linotype"/>
        </w:rPr>
      </w:pPr>
      <w:r>
        <w:rPr>
          <w:rFonts w:eastAsia="Palatino Linotype" w:cs="Palatino Linotype"/>
        </w:rPr>
        <w:t>T</w:t>
      </w:r>
      <w:r w:rsidRPr="001053D4">
        <w:rPr>
          <w:rFonts w:eastAsia="Palatino Linotype" w:cs="Palatino Linotype"/>
        </w:rPr>
        <w:t xml:space="preserve">he transformation of vocational high schools into </w:t>
      </w:r>
      <w:r w:rsidR="001B6FC0" w:rsidRPr="001053D4">
        <w:rPr>
          <w:rFonts w:eastAsia="Palatino Linotype" w:cs="Palatino Linotype"/>
        </w:rPr>
        <w:t xml:space="preserve">regional public service agencies </w:t>
      </w:r>
      <w:r w:rsidRPr="001053D4">
        <w:rPr>
          <w:rFonts w:eastAsia="Palatino Linotype" w:cs="Palatino Linotype"/>
        </w:rPr>
        <w:t xml:space="preserve">is not an easy task. Several factors hinder the transition process, particularly the schools' unpreparedness in facing new policies. This is due to the requirement for schools to meet production targets and the quality of the educational institution </w:t>
      </w:r>
      <w:r w:rsidR="003E4F0F">
        <w:rPr>
          <w:rFonts w:eastAsia="Palatino Linotype" w:cs="Palatino Linotype"/>
        </w:rPr>
        <w:t>[1]</w:t>
      </w:r>
      <w:r w:rsidRPr="001053D4">
        <w:rPr>
          <w:rFonts w:eastAsia="Palatino Linotype" w:cs="Palatino Linotype"/>
        </w:rPr>
        <w:t xml:space="preserve">. On the other hand, the quality of vocational high school graduates is considered insufficient, with many not meeting the qualifications for high-skill jobs. As a result, vocational high school graduates have the highest open unemployment rate among other educational levels, with figures of 9.27%, 8.92%, and 8.63%, respectively </w:t>
      </w:r>
      <w:r w:rsidR="003E4F0F">
        <w:rPr>
          <w:rFonts w:eastAsia="Palatino Linotype" w:cs="Palatino Linotype"/>
        </w:rPr>
        <w:t>[2]</w:t>
      </w:r>
      <w:r w:rsidR="003E4F0F" w:rsidRPr="001053D4">
        <w:rPr>
          <w:rFonts w:eastAsia="Palatino Linotype" w:cs="Palatino Linotype"/>
        </w:rPr>
        <w:t>.</w:t>
      </w:r>
      <w:r w:rsidR="008B4CF5">
        <w:rPr>
          <w:rFonts w:eastAsia="Palatino Linotype" w:cs="Palatino Linotype"/>
        </w:rPr>
        <w:t xml:space="preserve"> Similarly, in Aceh Province </w:t>
      </w:r>
      <w:r w:rsidRPr="001053D4">
        <w:rPr>
          <w:rFonts w:eastAsia="Palatino Linotype" w:cs="Palatino Linotype"/>
        </w:rPr>
        <w:t xml:space="preserve">data shows that vocational high school graduates contribute the most to the open unemployment rate, with details as follows: </w:t>
      </w:r>
      <w:r w:rsidR="00D02826" w:rsidRPr="001053D4">
        <w:rPr>
          <w:rFonts w:eastAsia="Palatino Linotype" w:cs="Palatino Linotype"/>
        </w:rPr>
        <w:t>vocational high school</w:t>
      </w:r>
      <w:r w:rsidR="00D02826">
        <w:rPr>
          <w:rFonts w:eastAsia="Palatino Linotype" w:cs="Palatino Linotype"/>
        </w:rPr>
        <w:t xml:space="preserve"> 10.55% </w:t>
      </w:r>
      <w:r w:rsidR="008B4CF5">
        <w:rPr>
          <w:rFonts w:eastAsia="Palatino Linotype" w:cs="Palatino Linotype"/>
        </w:rPr>
        <w:t>[3]</w:t>
      </w:r>
      <w:r w:rsidR="008B4CF5" w:rsidRPr="001053D4">
        <w:rPr>
          <w:rFonts w:eastAsia="Palatino Linotype" w:cs="Palatino Linotype"/>
        </w:rPr>
        <w:t>.</w:t>
      </w:r>
    </w:p>
    <w:p w:rsidR="001053D4" w:rsidRPr="001053D4" w:rsidRDefault="001053D4" w:rsidP="001053D4">
      <w:pPr>
        <w:pBdr>
          <w:top w:val="nil"/>
          <w:left w:val="nil"/>
          <w:bottom w:val="nil"/>
          <w:right w:val="nil"/>
          <w:between w:val="nil"/>
        </w:pBdr>
        <w:spacing w:line="228" w:lineRule="auto"/>
        <w:ind w:firstLine="284"/>
        <w:rPr>
          <w:rFonts w:eastAsia="Palatino Linotype" w:cs="Palatino Linotype"/>
        </w:rPr>
      </w:pPr>
      <w:r w:rsidRPr="001053D4">
        <w:rPr>
          <w:rFonts w:eastAsia="Palatino Linotype" w:cs="Palatino Linotype"/>
        </w:rPr>
        <w:t xml:space="preserve">Field studies conducted at six in Lhokseumawe City also revealed several factors that potentially hinder the optimal implementation of </w:t>
      </w:r>
      <w:r w:rsidR="009A7E98" w:rsidRPr="001053D4">
        <w:rPr>
          <w:rFonts w:eastAsia="Palatino Linotype" w:cs="Palatino Linotype"/>
        </w:rPr>
        <w:t xml:space="preserve">public service agencies </w:t>
      </w:r>
      <w:r w:rsidRPr="001053D4">
        <w:rPr>
          <w:rFonts w:eastAsia="Palatino Linotype" w:cs="Palatino Linotype"/>
        </w:rPr>
        <w:t xml:space="preserve">to address various issues, including: 1) Suboptimal implementation of teaching factories; 2) Low upskilling and reskilling of human resources to adapt to the demands of the business and industrial sectors; 3) Inadequate facilities and infrastructure to implement teaching factory-based learning; 4) Limited cooperation between schools and </w:t>
      </w:r>
      <w:r w:rsidR="009A7E98" w:rsidRPr="001053D4">
        <w:rPr>
          <w:rFonts w:eastAsia="Palatino Linotype" w:cs="Palatino Linotype"/>
        </w:rPr>
        <w:t>the business and industrial sectors</w:t>
      </w:r>
      <w:r w:rsidRPr="001053D4">
        <w:rPr>
          <w:rFonts w:eastAsia="Palatino Linotype" w:cs="Palatino Linotype"/>
        </w:rPr>
        <w:t xml:space="preserve">, resulting in difficulties for graduates to be absorbed into the workforce in line with their competencies; 5) Schools' </w:t>
      </w:r>
      <w:r w:rsidRPr="001053D4">
        <w:rPr>
          <w:rFonts w:eastAsia="Palatino Linotype" w:cs="Palatino Linotype"/>
        </w:rPr>
        <w:lastRenderedPageBreak/>
        <w:t xml:space="preserve">difficulties in marketing production results as income-generating activities; and 6) The </w:t>
      </w:r>
      <w:r w:rsidR="00656340" w:rsidRPr="001053D4">
        <w:rPr>
          <w:rFonts w:eastAsia="Palatino Linotype" w:cs="Palatino Linotype"/>
        </w:rPr>
        <w:t xml:space="preserve">good school </w:t>
      </w:r>
      <w:r w:rsidRPr="001053D4">
        <w:rPr>
          <w:rFonts w:eastAsia="Palatino Linotype" w:cs="Palatino Linotype"/>
        </w:rPr>
        <w:t>governance model has not been optimally implemented.</w:t>
      </w:r>
    </w:p>
    <w:p w:rsidR="00656340" w:rsidRDefault="001053D4" w:rsidP="00656340">
      <w:pPr>
        <w:pBdr>
          <w:top w:val="nil"/>
          <w:left w:val="nil"/>
          <w:bottom w:val="nil"/>
          <w:right w:val="nil"/>
          <w:between w:val="nil"/>
        </w:pBdr>
        <w:spacing w:line="228" w:lineRule="auto"/>
        <w:ind w:firstLine="284"/>
        <w:rPr>
          <w:rFonts w:eastAsia="Palatino Linotype" w:cs="Palatino Linotype"/>
        </w:rPr>
      </w:pPr>
      <w:r w:rsidRPr="001053D4">
        <w:rPr>
          <w:rFonts w:eastAsia="Palatino Linotype" w:cs="Palatino Linotype"/>
        </w:rPr>
        <w:t>Based on these findings, it can be concluded that the progress of vocational high schools is greatly influenced by the effectiveness of school program organizers, including human resources, infrastructure, and cooperation with industry</w:t>
      </w:r>
      <w:r w:rsidR="00656340">
        <w:rPr>
          <w:rFonts w:eastAsia="Palatino Linotype" w:cs="Palatino Linotype"/>
        </w:rPr>
        <w:t xml:space="preserve"> [4-6]</w:t>
      </w:r>
      <w:r w:rsidR="00656340" w:rsidRPr="001053D4">
        <w:rPr>
          <w:rFonts w:eastAsia="Palatino Linotype" w:cs="Palatino Linotype"/>
        </w:rPr>
        <w:t>.</w:t>
      </w:r>
      <w:r w:rsidR="00656340">
        <w:rPr>
          <w:rFonts w:eastAsia="Palatino Linotype" w:cs="Palatino Linotype"/>
        </w:rPr>
        <w:t xml:space="preserve"> </w:t>
      </w:r>
      <w:r w:rsidRPr="001053D4">
        <w:rPr>
          <w:rFonts w:eastAsia="Palatino Linotype" w:cs="Palatino Linotype"/>
        </w:rPr>
        <w:t xml:space="preserve">Most vocational school managers also lack understanding and effective implementation of educational accountability, often leading to mismanagement of budget allocation </w:t>
      </w:r>
      <w:r w:rsidR="00656340">
        <w:rPr>
          <w:rFonts w:eastAsia="Palatino Linotype" w:cs="Palatino Linotype"/>
        </w:rPr>
        <w:t>[7]</w:t>
      </w:r>
      <w:r w:rsidR="00656340" w:rsidRPr="001053D4">
        <w:rPr>
          <w:rFonts w:eastAsia="Palatino Linotype" w:cs="Palatino Linotype"/>
        </w:rPr>
        <w:t>.</w:t>
      </w:r>
    </w:p>
    <w:p w:rsidR="001053D4" w:rsidRDefault="00656340" w:rsidP="00656340">
      <w:pPr>
        <w:pBdr>
          <w:top w:val="nil"/>
          <w:left w:val="nil"/>
          <w:bottom w:val="nil"/>
          <w:right w:val="nil"/>
          <w:between w:val="nil"/>
        </w:pBdr>
        <w:spacing w:line="228" w:lineRule="auto"/>
        <w:ind w:firstLine="284"/>
        <w:rPr>
          <w:rFonts w:eastAsia="Palatino Linotype" w:cs="Palatino Linotype"/>
        </w:rPr>
      </w:pPr>
      <w:r w:rsidRPr="00656340">
        <w:rPr>
          <w:rFonts w:eastAsia="Palatino Linotype" w:cs="Palatino Linotype"/>
        </w:rPr>
        <w:t xml:space="preserve">To ensure that the governance of </w:t>
      </w:r>
      <w:r w:rsidR="009A7E98" w:rsidRPr="001053D4">
        <w:rPr>
          <w:rFonts w:eastAsia="Palatino Linotype" w:cs="Palatino Linotype"/>
        </w:rPr>
        <w:t xml:space="preserve">public service agencies </w:t>
      </w:r>
      <w:r w:rsidRPr="00656340">
        <w:rPr>
          <w:rFonts w:eastAsia="Palatino Linotype" w:cs="Palatino Linotype"/>
        </w:rPr>
        <w:t>runs effectively and efficiently, enabling schools to achieve financial independence, efforts are required to develop an education management model based on Good School Governance. Standardization of resources, business models, performance indicators and their measurements, along with sound governance, will turn the sch</w:t>
      </w:r>
      <w:r>
        <w:rPr>
          <w:rFonts w:eastAsia="Palatino Linotype" w:cs="Palatino Linotype"/>
        </w:rPr>
        <w:t xml:space="preserve">ool into a center of excellence, </w:t>
      </w:r>
      <w:r w:rsidRPr="00656340">
        <w:rPr>
          <w:rFonts w:eastAsia="Palatino Linotype" w:cs="Palatino Linotype"/>
        </w:rPr>
        <w:t xml:space="preserve">impacting graduate quality, the labor market, and entrepreneurship </w:t>
      </w:r>
      <w:r>
        <w:rPr>
          <w:rFonts w:eastAsia="Palatino Linotype" w:cs="Palatino Linotype"/>
        </w:rPr>
        <w:t>[8-10]</w:t>
      </w:r>
      <w:r w:rsidRPr="00656340">
        <w:rPr>
          <w:rFonts w:eastAsia="Palatino Linotype" w:cs="Palatino Linotype"/>
        </w:rPr>
        <w:t>. Good School Governance aligns with quality management because management styles can be adapted to the quality management concept if supported by the principles used to create effective governance.</w:t>
      </w:r>
    </w:p>
    <w:p w:rsidR="00CE2AFD" w:rsidRDefault="00104E7B">
      <w:pPr>
        <w:pBdr>
          <w:top w:val="nil"/>
          <w:left w:val="nil"/>
          <w:bottom w:val="nil"/>
          <w:right w:val="nil"/>
          <w:between w:val="nil"/>
        </w:pBdr>
        <w:spacing w:before="240" w:after="60" w:line="228" w:lineRule="auto"/>
        <w:jc w:val="left"/>
        <w:rPr>
          <w:rFonts w:eastAsia="Palatino Linotype" w:cs="Palatino Linotype"/>
          <w:b/>
        </w:rPr>
      </w:pPr>
      <w:r>
        <w:rPr>
          <w:rFonts w:eastAsia="Palatino Linotype" w:cs="Palatino Linotype"/>
          <w:b/>
        </w:rPr>
        <w:t>2. Materials and Methods</w:t>
      </w:r>
    </w:p>
    <w:p w:rsidR="00C753BE" w:rsidRPr="00C753BE" w:rsidRDefault="00C753BE" w:rsidP="00C753BE">
      <w:pPr>
        <w:pBdr>
          <w:top w:val="nil"/>
          <w:left w:val="nil"/>
          <w:bottom w:val="nil"/>
          <w:right w:val="nil"/>
          <w:between w:val="nil"/>
        </w:pBdr>
        <w:spacing w:line="228" w:lineRule="auto"/>
        <w:ind w:firstLine="284"/>
        <w:rPr>
          <w:rFonts w:eastAsia="Palatino Linotype" w:cs="Palatino Linotype"/>
        </w:rPr>
      </w:pPr>
      <w:r w:rsidRPr="00C753BE">
        <w:rPr>
          <w:rFonts w:eastAsia="Palatino Linotype" w:cs="Palatino Linotype"/>
        </w:rPr>
        <w:t>This study employs a mixed-method approach with a sequential explanatory design, combining quantitative and qualitative research methods consecutively. The research was conducted using both quantitative and qualitative methods.</w:t>
      </w:r>
    </w:p>
    <w:p w:rsidR="00C753BE" w:rsidRPr="00C753BE" w:rsidRDefault="00C753BE" w:rsidP="00C753BE">
      <w:pPr>
        <w:pBdr>
          <w:top w:val="nil"/>
          <w:left w:val="nil"/>
          <w:bottom w:val="nil"/>
          <w:right w:val="nil"/>
          <w:between w:val="nil"/>
        </w:pBdr>
        <w:spacing w:line="228" w:lineRule="auto"/>
        <w:ind w:firstLine="284"/>
        <w:rPr>
          <w:rFonts w:eastAsia="Palatino Linotype" w:cs="Palatino Linotype"/>
        </w:rPr>
      </w:pPr>
      <w:r w:rsidRPr="00C753BE">
        <w:rPr>
          <w:rFonts w:eastAsia="Palatino Linotype" w:cs="Palatino Linotype"/>
        </w:rPr>
        <w:t xml:space="preserve">Data sources in this study were determined using purposive sampling technique. Based on the criteria set, the data sources or informants in this study included the principal, vice principal for curriculum, vice principal for public relations, head of the mechanical engineering program, productive teachers from </w:t>
      </w:r>
      <w:r w:rsidR="009A7E98">
        <w:rPr>
          <w:rFonts w:eastAsia="Palatino Linotype" w:cs="Palatino Linotype"/>
        </w:rPr>
        <w:t>V</w:t>
      </w:r>
      <w:r w:rsidR="009A7E98" w:rsidRPr="001053D4">
        <w:rPr>
          <w:rFonts w:eastAsia="Palatino Linotype" w:cs="Palatino Linotype"/>
        </w:rPr>
        <w:t xml:space="preserve">ocational </w:t>
      </w:r>
      <w:r w:rsidR="009A7E98">
        <w:rPr>
          <w:rFonts w:eastAsia="Palatino Linotype" w:cs="Palatino Linotype"/>
        </w:rPr>
        <w:t>H</w:t>
      </w:r>
      <w:r w:rsidR="009A7E98" w:rsidRPr="001053D4">
        <w:rPr>
          <w:rFonts w:eastAsia="Palatino Linotype" w:cs="Palatino Linotype"/>
        </w:rPr>
        <w:t xml:space="preserve">igh </w:t>
      </w:r>
      <w:r w:rsidR="009A7E98">
        <w:rPr>
          <w:rFonts w:eastAsia="Palatino Linotype" w:cs="Palatino Linotype"/>
        </w:rPr>
        <w:t>S</w:t>
      </w:r>
      <w:r w:rsidR="009A7E98" w:rsidRPr="001053D4">
        <w:rPr>
          <w:rFonts w:eastAsia="Palatino Linotype" w:cs="Palatino Linotype"/>
        </w:rPr>
        <w:t>chool</w:t>
      </w:r>
      <w:r w:rsidR="009A7E98" w:rsidRPr="008E35CC">
        <w:rPr>
          <w:rFonts w:eastAsia="Palatino Linotype" w:cs="Palatino Linotype"/>
        </w:rPr>
        <w:t xml:space="preserve"> </w:t>
      </w:r>
      <w:bookmarkStart w:id="0" w:name="_GoBack"/>
      <w:bookmarkEnd w:id="0"/>
      <w:r w:rsidRPr="00C753BE">
        <w:rPr>
          <w:rFonts w:eastAsia="Palatino Linotype" w:cs="Palatino Linotype"/>
        </w:rPr>
        <w:t>1 Lhokseumawe, and leaders from the business and industrial sectors in Lhokseumawe City.</w:t>
      </w:r>
    </w:p>
    <w:p w:rsidR="00C753BE" w:rsidRPr="00C753BE" w:rsidRDefault="00C753BE" w:rsidP="00C753BE">
      <w:pPr>
        <w:pBdr>
          <w:top w:val="nil"/>
          <w:left w:val="nil"/>
          <w:bottom w:val="nil"/>
          <w:right w:val="nil"/>
          <w:between w:val="nil"/>
        </w:pBdr>
        <w:spacing w:line="228" w:lineRule="auto"/>
        <w:ind w:firstLine="284"/>
        <w:rPr>
          <w:rFonts w:eastAsia="Palatino Linotype" w:cs="Palatino Linotype"/>
        </w:rPr>
      </w:pPr>
      <w:r w:rsidRPr="00C753BE">
        <w:rPr>
          <w:rFonts w:eastAsia="Palatino Linotype" w:cs="Palatino Linotype"/>
        </w:rPr>
        <w:t xml:space="preserve">Data collection techniques involved documentation study and in-depth interviews with department heads, school principals, teachers, staff, school committees, students, representatives from DU/DI, alumni, and community figures. Observations were also made at the Aceh Provincial Education Office branch located in Lhokseumawe. The data were then processed using the Analytical Hierarchy Process (AHP) method to identify the appropriate strategies to improve the effectiveness of </w:t>
      </w:r>
      <w:r w:rsidR="009A7E98" w:rsidRPr="001053D4">
        <w:rPr>
          <w:rFonts w:eastAsia="Palatino Linotype" w:cs="Palatino Linotype"/>
        </w:rPr>
        <w:t xml:space="preserve">public service agencies </w:t>
      </w:r>
      <w:r w:rsidRPr="00C753BE">
        <w:rPr>
          <w:rFonts w:eastAsia="Palatino Linotype" w:cs="Palatino Linotype"/>
        </w:rPr>
        <w:t>management.</w:t>
      </w:r>
    </w:p>
    <w:p w:rsidR="00C753BE" w:rsidRPr="00C753BE" w:rsidRDefault="00C753BE" w:rsidP="00C753BE">
      <w:pPr>
        <w:pBdr>
          <w:top w:val="nil"/>
          <w:left w:val="nil"/>
          <w:bottom w:val="nil"/>
          <w:right w:val="nil"/>
          <w:between w:val="nil"/>
        </w:pBdr>
        <w:spacing w:line="228" w:lineRule="auto"/>
        <w:ind w:firstLine="284"/>
        <w:rPr>
          <w:rFonts w:eastAsia="Palatino Linotype" w:cs="Palatino Linotype"/>
        </w:rPr>
      </w:pPr>
      <w:r w:rsidRPr="00C753BE">
        <w:rPr>
          <w:rFonts w:eastAsia="Palatino Linotype" w:cs="Palatino Linotype"/>
        </w:rPr>
        <w:t>Data analysis began with data validity, where the criteria for qualitative data validity were credibility, transferability, dependability, and confirmability. The data validation techniques used were source triangulation and technique triangulation. After continuous data triangulation to achieve data saturation, the next step was data analysis using the Miles &amp; Huberman model, which involves four steps: data collection, data presentation, data reduction, and conclusion drawing &amp; verification</w:t>
      </w:r>
      <w:r>
        <w:rPr>
          <w:rFonts w:eastAsia="Palatino Linotype" w:cs="Palatino Linotype"/>
        </w:rPr>
        <w:t xml:space="preserve"> [11]</w:t>
      </w:r>
      <w:r w:rsidRPr="00C753BE">
        <w:rPr>
          <w:rFonts w:eastAsia="Palatino Linotype" w:cs="Palatino Linotype"/>
        </w:rPr>
        <w:t>.</w:t>
      </w:r>
    </w:p>
    <w:p w:rsidR="00CE2AFD" w:rsidRDefault="00104E7B">
      <w:pPr>
        <w:pBdr>
          <w:top w:val="nil"/>
          <w:left w:val="nil"/>
          <w:bottom w:val="nil"/>
          <w:right w:val="nil"/>
          <w:between w:val="nil"/>
        </w:pBdr>
        <w:spacing w:before="240" w:after="60" w:line="228" w:lineRule="auto"/>
        <w:jc w:val="left"/>
        <w:rPr>
          <w:rFonts w:eastAsia="Palatino Linotype" w:cs="Palatino Linotype"/>
          <w:b/>
        </w:rPr>
      </w:pPr>
      <w:r>
        <w:rPr>
          <w:rFonts w:eastAsia="Palatino Linotype" w:cs="Palatino Linotype"/>
          <w:b/>
        </w:rPr>
        <w:t>3. Results and Discussion</w:t>
      </w:r>
    </w:p>
    <w:p w:rsidR="008E35CC" w:rsidRPr="008E35CC" w:rsidRDefault="008E35CC" w:rsidP="008E35CC">
      <w:pPr>
        <w:pBdr>
          <w:top w:val="nil"/>
          <w:left w:val="nil"/>
          <w:bottom w:val="nil"/>
          <w:right w:val="nil"/>
          <w:between w:val="nil"/>
        </w:pBdr>
        <w:spacing w:line="228" w:lineRule="auto"/>
        <w:ind w:firstLine="284"/>
        <w:rPr>
          <w:rFonts w:eastAsia="Palatino Linotype" w:cs="Palatino Linotype"/>
        </w:rPr>
      </w:pPr>
      <w:r>
        <w:rPr>
          <w:rFonts w:eastAsia="Palatino Linotype" w:cs="Palatino Linotype"/>
        </w:rPr>
        <w:t>The implementation of the Public Service Agency</w:t>
      </w:r>
      <w:r w:rsidRPr="008E35CC">
        <w:rPr>
          <w:rFonts w:eastAsia="Palatino Linotype" w:cs="Palatino Linotype"/>
        </w:rPr>
        <w:t xml:space="preserve"> concept in educational institutions requires adjustments in the organizational system. </w:t>
      </w:r>
      <w:r w:rsidR="00D02826">
        <w:rPr>
          <w:rFonts w:eastAsia="Palatino Linotype" w:cs="Palatino Linotype"/>
        </w:rPr>
        <w:t>V</w:t>
      </w:r>
      <w:r w:rsidR="00D02826" w:rsidRPr="001053D4">
        <w:rPr>
          <w:rFonts w:eastAsia="Palatino Linotype" w:cs="Palatino Linotype"/>
        </w:rPr>
        <w:t xml:space="preserve">ocational </w:t>
      </w:r>
      <w:r w:rsidR="00D02826">
        <w:rPr>
          <w:rFonts w:eastAsia="Palatino Linotype" w:cs="Palatino Linotype"/>
        </w:rPr>
        <w:t>H</w:t>
      </w:r>
      <w:r w:rsidR="00D02826" w:rsidRPr="001053D4">
        <w:rPr>
          <w:rFonts w:eastAsia="Palatino Linotype" w:cs="Palatino Linotype"/>
        </w:rPr>
        <w:t xml:space="preserve">igh </w:t>
      </w:r>
      <w:r w:rsidR="00D02826">
        <w:rPr>
          <w:rFonts w:eastAsia="Palatino Linotype" w:cs="Palatino Linotype"/>
        </w:rPr>
        <w:t>S</w:t>
      </w:r>
      <w:r w:rsidR="00D02826" w:rsidRPr="001053D4">
        <w:rPr>
          <w:rFonts w:eastAsia="Palatino Linotype" w:cs="Palatino Linotype"/>
        </w:rPr>
        <w:t>chool</w:t>
      </w:r>
      <w:r w:rsidRPr="008E35CC">
        <w:rPr>
          <w:rFonts w:eastAsia="Palatino Linotype" w:cs="Palatino Linotype"/>
        </w:rPr>
        <w:t xml:space="preserve"> 1 Lhokseumawe has made such adjustments by forming an organizational structure. The organizational structure at </w:t>
      </w:r>
      <w:r w:rsidR="00D02826">
        <w:rPr>
          <w:rFonts w:eastAsia="Palatino Linotype" w:cs="Palatino Linotype"/>
        </w:rPr>
        <w:t>scholl</w:t>
      </w:r>
      <w:r w:rsidRPr="008E35CC">
        <w:rPr>
          <w:rFonts w:eastAsia="Palatino Linotype" w:cs="Palatino Linotype"/>
        </w:rPr>
        <w:t xml:space="preserve"> that handles administration is called the Financial Administration Manager. The introduction of this new structure in the management of </w:t>
      </w:r>
      <w:r w:rsidR="0076038C">
        <w:rPr>
          <w:rFonts w:eastAsia="Palatino Linotype" w:cs="Palatino Linotype"/>
        </w:rPr>
        <w:t>Public Service Agency</w:t>
      </w:r>
      <w:r w:rsidRPr="008E35CC">
        <w:rPr>
          <w:rFonts w:eastAsia="Palatino Linotype" w:cs="Palatino Linotype"/>
        </w:rPr>
        <w:t xml:space="preserve"> finances strengthens the financial</w:t>
      </w:r>
      <w:r>
        <w:rPr>
          <w:rFonts w:eastAsia="Palatino Linotype" w:cs="Palatino Linotype"/>
        </w:rPr>
        <w:t xml:space="preserve"> management, which consists of School Operational Assistance</w:t>
      </w:r>
      <w:r w:rsidRPr="008E35CC">
        <w:rPr>
          <w:rFonts w:eastAsia="Palatino Linotype" w:cs="Palatino Linotype"/>
        </w:rPr>
        <w:t>, Regiona</w:t>
      </w:r>
      <w:r>
        <w:rPr>
          <w:rFonts w:eastAsia="Palatino Linotype" w:cs="Palatino Linotype"/>
        </w:rPr>
        <w:t>l School Operational Assistance</w:t>
      </w:r>
      <w:r w:rsidRPr="008E35CC">
        <w:rPr>
          <w:rFonts w:eastAsia="Palatino Linotype" w:cs="Palatino Linotype"/>
        </w:rPr>
        <w:t xml:space="preserve">, and committee income. The adjustment in the organizational structure at </w:t>
      </w:r>
      <w:r w:rsidR="00D02826">
        <w:rPr>
          <w:rFonts w:eastAsia="Palatino Linotype" w:cs="Palatino Linotype"/>
        </w:rPr>
        <w:t>scholl</w:t>
      </w:r>
      <w:r w:rsidR="00D02826" w:rsidRPr="008E35CC">
        <w:rPr>
          <w:rFonts w:eastAsia="Palatino Linotype" w:cs="Palatino Linotype"/>
        </w:rPr>
        <w:t xml:space="preserve"> </w:t>
      </w:r>
      <w:r w:rsidRPr="008E35CC">
        <w:rPr>
          <w:rFonts w:eastAsia="Palatino Linotype" w:cs="Palatino Linotype"/>
        </w:rPr>
        <w:t>aligns that an organizational structure is formed to create authority and responsibility relationships among relevant officials to achieve organizational</w:t>
      </w:r>
      <w:r>
        <w:rPr>
          <w:rFonts w:eastAsia="Palatino Linotype" w:cs="Palatino Linotype"/>
        </w:rPr>
        <w:t xml:space="preserve"> goals</w:t>
      </w:r>
      <w:r w:rsidRPr="008E35CC">
        <w:rPr>
          <w:rFonts w:eastAsia="Palatino Linotype" w:cs="Palatino Linotype"/>
        </w:rPr>
        <w:t>.</w:t>
      </w:r>
    </w:p>
    <w:p w:rsidR="008E35CC" w:rsidRDefault="008E35CC" w:rsidP="008E35CC">
      <w:pPr>
        <w:pBdr>
          <w:top w:val="nil"/>
          <w:left w:val="nil"/>
          <w:bottom w:val="nil"/>
          <w:right w:val="nil"/>
          <w:between w:val="nil"/>
        </w:pBdr>
        <w:spacing w:line="228" w:lineRule="auto"/>
        <w:ind w:firstLine="284"/>
        <w:rPr>
          <w:rFonts w:eastAsia="Palatino Linotype" w:cs="Palatino Linotype"/>
        </w:rPr>
      </w:pPr>
      <w:r w:rsidRPr="008E35CC">
        <w:rPr>
          <w:rFonts w:eastAsia="Palatino Linotype" w:cs="Palatino Linotype"/>
        </w:rPr>
        <w:t xml:space="preserve">The existence of a financial management structure for </w:t>
      </w:r>
      <w:r>
        <w:rPr>
          <w:rFonts w:eastAsia="Palatino Linotype" w:cs="Palatino Linotype"/>
        </w:rPr>
        <w:t>Public Service Agency</w:t>
      </w:r>
      <w:r w:rsidRPr="008E35CC">
        <w:rPr>
          <w:rFonts w:eastAsia="Palatino Linotype" w:cs="Palatino Linotype"/>
        </w:rPr>
        <w:t xml:space="preserve"> at </w:t>
      </w:r>
      <w:r w:rsidR="00D02826">
        <w:rPr>
          <w:rFonts w:eastAsia="Palatino Linotype" w:cs="Palatino Linotype"/>
        </w:rPr>
        <w:t>scholl</w:t>
      </w:r>
      <w:r w:rsidRPr="008E35CC">
        <w:rPr>
          <w:rFonts w:eastAsia="Palatino Linotype" w:cs="Palatino Linotype"/>
        </w:rPr>
        <w:t xml:space="preserve"> will complement the existing financial organizational system. The relationship is similar to how </w:t>
      </w:r>
      <w:r w:rsidRPr="008E35CC">
        <w:rPr>
          <w:rFonts w:eastAsia="Palatino Linotype" w:cs="Palatino Linotype"/>
        </w:rPr>
        <w:lastRenderedPageBreak/>
        <w:t xml:space="preserve">electrons revolve around the nucleus of an atom. The nucleus of the atom represents the financial management of SMK Negeri 1 Lhokseumawe, the electron represents the financing activities carried out by each financial management unit at </w:t>
      </w:r>
      <w:r w:rsidR="00D02826">
        <w:rPr>
          <w:rFonts w:eastAsia="Palatino Linotype" w:cs="Palatino Linotype"/>
        </w:rPr>
        <w:t>scholl</w:t>
      </w:r>
      <w:r w:rsidRPr="008E35CC">
        <w:rPr>
          <w:rFonts w:eastAsia="Palatino Linotype" w:cs="Palatino Linotype"/>
        </w:rPr>
        <w:t>, and the electron’s orbit represents the financial administration regulations that must be followed by each manager.</w:t>
      </w:r>
    </w:p>
    <w:p w:rsidR="008E35CC" w:rsidRPr="008E35CC" w:rsidRDefault="008E35CC" w:rsidP="008E35CC">
      <w:pPr>
        <w:pBdr>
          <w:top w:val="nil"/>
          <w:left w:val="nil"/>
          <w:bottom w:val="nil"/>
          <w:right w:val="nil"/>
          <w:between w:val="nil"/>
        </w:pBdr>
        <w:spacing w:line="228" w:lineRule="auto"/>
        <w:ind w:firstLine="284"/>
        <w:rPr>
          <w:rFonts w:eastAsia="Palatino Linotype" w:cs="Palatino Linotype"/>
        </w:rPr>
      </w:pPr>
      <w:r w:rsidRPr="008E35CC">
        <w:rPr>
          <w:rFonts w:eastAsia="Palatino Linotype" w:cs="Palatino Linotype"/>
        </w:rPr>
        <w:t>The financial governance of BLUD includes budgeting, bookkeeping, and auditing. Budgeting at BLUD is done by preparing a Work Plan and Bud</w:t>
      </w:r>
      <w:r w:rsidR="0076038C">
        <w:rPr>
          <w:rFonts w:eastAsia="Palatino Linotype" w:cs="Palatino Linotype"/>
        </w:rPr>
        <w:t xml:space="preserve">get. The Work Plan and Budget </w:t>
      </w:r>
      <w:r w:rsidRPr="008E35CC">
        <w:rPr>
          <w:rFonts w:eastAsia="Palatino Linotype" w:cs="Palatino Linotype"/>
        </w:rPr>
        <w:t xml:space="preserve"> is a document containing the work plan for the upcoming year, including performance targets, cost assumptions for the activities carried out, and funding from assets and stimulation funds from the provincial government. It also includes the anticipated income from activities such as production or services/assets. </w:t>
      </w:r>
      <w:r w:rsidR="0076038C">
        <w:rPr>
          <w:rFonts w:eastAsia="Palatino Linotype" w:cs="Palatino Linotype"/>
        </w:rPr>
        <w:t xml:space="preserve">This Work Plan and Budget </w:t>
      </w:r>
      <w:r w:rsidRPr="008E35CC">
        <w:rPr>
          <w:rFonts w:eastAsia="Palatino Linotype" w:cs="Palatino Linotype"/>
        </w:rPr>
        <w:t>is referred to as the School Revenue and</w:t>
      </w:r>
      <w:r w:rsidR="0076038C">
        <w:rPr>
          <w:rFonts w:eastAsia="Palatino Linotype" w:cs="Palatino Linotype"/>
        </w:rPr>
        <w:t xml:space="preserve"> Expenditure Budget Plan</w:t>
      </w:r>
      <w:r w:rsidRPr="008E35CC">
        <w:rPr>
          <w:rFonts w:eastAsia="Palatino Linotype" w:cs="Palatino Linotype"/>
        </w:rPr>
        <w:t xml:space="preserve"> in the institution’s financial management. The School Reven</w:t>
      </w:r>
      <w:r w:rsidR="0076038C">
        <w:rPr>
          <w:rFonts w:eastAsia="Palatino Linotype" w:cs="Palatino Linotype"/>
        </w:rPr>
        <w:t xml:space="preserve">ue and Expenditure Budget Plan </w:t>
      </w:r>
      <w:r w:rsidRPr="008E35CC">
        <w:rPr>
          <w:rFonts w:eastAsia="Palatino Linotype" w:cs="Palatino Linotype"/>
        </w:rPr>
        <w:t>is an operational plan presented quantitatively in monetary terms and used as a guideline for carryi</w:t>
      </w:r>
      <w:r w:rsidR="0076038C">
        <w:rPr>
          <w:rFonts w:eastAsia="Palatino Linotype" w:cs="Palatino Linotype"/>
        </w:rPr>
        <w:t>ng out activities at the school.</w:t>
      </w:r>
    </w:p>
    <w:p w:rsidR="008E35CC" w:rsidRPr="008E35CC" w:rsidRDefault="008E35CC" w:rsidP="008E35CC">
      <w:pPr>
        <w:pBdr>
          <w:top w:val="nil"/>
          <w:left w:val="nil"/>
          <w:bottom w:val="nil"/>
          <w:right w:val="nil"/>
          <w:between w:val="nil"/>
        </w:pBdr>
        <w:spacing w:line="228" w:lineRule="auto"/>
        <w:ind w:firstLine="284"/>
        <w:rPr>
          <w:rFonts w:eastAsia="Palatino Linotype" w:cs="Palatino Linotype"/>
        </w:rPr>
      </w:pPr>
      <w:r w:rsidRPr="008E35CC">
        <w:rPr>
          <w:rFonts w:eastAsia="Palatino Linotype" w:cs="Palatino Linotype"/>
        </w:rPr>
        <w:t>The process followed by SMK Negeri 1 Lhokseumawe in preparing the Work Plan and Budget aligns with the budgeting which consists of several steps: 1) Inventorying planned activities; 2) Preparing plans based on the priority scale; 3) Determining the work program and its details; 4) Setting the needs for executing the detailed program; 5) Calculating the required funds; 6) Determining the sources of funds to finance the plan.</w:t>
      </w:r>
    </w:p>
    <w:p w:rsidR="008E35CC" w:rsidRPr="008E35CC" w:rsidRDefault="008E35CC" w:rsidP="008E35CC">
      <w:pPr>
        <w:pBdr>
          <w:top w:val="nil"/>
          <w:left w:val="nil"/>
          <w:bottom w:val="nil"/>
          <w:right w:val="nil"/>
          <w:between w:val="nil"/>
        </w:pBdr>
        <w:spacing w:line="228" w:lineRule="auto"/>
        <w:ind w:firstLine="284"/>
        <w:rPr>
          <w:rFonts w:eastAsia="Palatino Linotype" w:cs="Palatino Linotype"/>
        </w:rPr>
      </w:pPr>
      <w:r w:rsidRPr="008E35CC">
        <w:rPr>
          <w:rFonts w:eastAsia="Palatino Linotype" w:cs="Palatino Linotype"/>
        </w:rPr>
        <w:t>In practice, SMK Negeri 1 Lhokseumawe interprets these steps as follows: First, the program details outlined by SMK Negeri 1 Lhokseumawe into work programs, indicators, activities, sub-activities, budget breakdown, and funding sources. Second, to facilitate financial administration, SMK Negeri 1 Lhokseumawe supplements its financial management with applications such as E-Planning, E-Budgeting, and Sippol. Third, in the Work Plan and Budget, in addition to the required budget, there is also a targeted revenue.</w:t>
      </w:r>
    </w:p>
    <w:p w:rsidR="008E35CC" w:rsidRPr="008E35CC" w:rsidRDefault="008E35CC" w:rsidP="008E35CC">
      <w:pPr>
        <w:pBdr>
          <w:top w:val="nil"/>
          <w:left w:val="nil"/>
          <w:bottom w:val="nil"/>
          <w:right w:val="nil"/>
          <w:between w:val="nil"/>
        </w:pBdr>
        <w:spacing w:line="228" w:lineRule="auto"/>
        <w:ind w:firstLine="284"/>
        <w:rPr>
          <w:rFonts w:eastAsia="Palatino Linotype" w:cs="Palatino Linotype"/>
        </w:rPr>
      </w:pPr>
      <w:r w:rsidRPr="008E35CC">
        <w:rPr>
          <w:rFonts w:eastAsia="Palatino Linotype" w:cs="Palatino Linotype"/>
        </w:rPr>
        <w:t xml:space="preserve">In an institution or organization, accountability plays a dual role. On one hand, accountability represents transparency in the management of the institution or organization, and on the other hand, it serves as a quality control tool for the organization's governance. The ultimate outcome of both aspects is the institution's credibility. There are two types of accountability in a institution: performance accountability and financial accountability. In performance accountability, </w:t>
      </w:r>
      <w:r w:rsidR="00D02826">
        <w:rPr>
          <w:rFonts w:eastAsia="Palatino Linotype" w:cs="Palatino Linotype"/>
        </w:rPr>
        <w:t>scholl</w:t>
      </w:r>
      <w:r w:rsidRPr="008E35CC">
        <w:rPr>
          <w:rFonts w:eastAsia="Palatino Linotype" w:cs="Palatino Linotype"/>
        </w:rPr>
        <w:t>, through the Financial Administr</w:t>
      </w:r>
      <w:r w:rsidR="00D171F1">
        <w:rPr>
          <w:rFonts w:eastAsia="Palatino Linotype" w:cs="Palatino Linotype"/>
        </w:rPr>
        <w:t>ation Officer</w:t>
      </w:r>
      <w:r w:rsidRPr="008E35CC">
        <w:rPr>
          <w:rFonts w:eastAsia="Palatino Linotype" w:cs="Palatino Linotype"/>
        </w:rPr>
        <w:t>, evaluates the performance of the service and production units in each expertise program. These service and production units, which are the frontline of the teaching factory (industry-based learning), will be assessed for their performance by the Financ</w:t>
      </w:r>
      <w:r w:rsidR="00D171F1">
        <w:rPr>
          <w:rFonts w:eastAsia="Palatino Linotype" w:cs="Palatino Linotype"/>
        </w:rPr>
        <w:t xml:space="preserve">ial Administration Officer. </w:t>
      </w:r>
      <w:r w:rsidRPr="008E35CC">
        <w:rPr>
          <w:rFonts w:eastAsia="Palatino Linotype" w:cs="Palatino Linotype"/>
        </w:rPr>
        <w:t>The mechanism carried out by the Financial Administration Officer (PPK) is as follows: First, the Financ</w:t>
      </w:r>
      <w:r w:rsidR="00D171F1">
        <w:rPr>
          <w:rFonts w:eastAsia="Palatino Linotype" w:cs="Palatino Linotype"/>
        </w:rPr>
        <w:t xml:space="preserve">ial Administration Officer </w:t>
      </w:r>
      <w:r w:rsidRPr="008E35CC">
        <w:rPr>
          <w:rFonts w:eastAsia="Palatino Linotype" w:cs="Palatino Linotype"/>
        </w:rPr>
        <w:t>and the service and production unit managers in each expertise program establish performance standards. Second, the standards or evaluation criteria are validated. Third, the performance is assessed, and fourth, an evaluation is conducted on the achieved performance. This is in accordance which states that in implementing accountability, the first step is determining performance indicators, conducting performance evaluations, and concluding with an evaluation of the performance</w:t>
      </w:r>
      <w:r w:rsidR="00D171F1">
        <w:rPr>
          <w:rFonts w:eastAsia="Palatino Linotype" w:cs="Palatino Linotype"/>
        </w:rPr>
        <w:t xml:space="preserve"> outcomes</w:t>
      </w:r>
      <w:r w:rsidRPr="008E35CC">
        <w:rPr>
          <w:rFonts w:eastAsia="Palatino Linotype" w:cs="Palatino Linotype"/>
        </w:rPr>
        <w:t>.</w:t>
      </w:r>
    </w:p>
    <w:p w:rsidR="008E35CC" w:rsidRPr="008E35CC" w:rsidRDefault="008E35CC" w:rsidP="008E35CC">
      <w:pPr>
        <w:pBdr>
          <w:top w:val="nil"/>
          <w:left w:val="nil"/>
          <w:bottom w:val="nil"/>
          <w:right w:val="nil"/>
          <w:between w:val="nil"/>
        </w:pBdr>
        <w:spacing w:line="228" w:lineRule="auto"/>
        <w:ind w:firstLine="284"/>
        <w:rPr>
          <w:rFonts w:eastAsia="Palatino Linotype" w:cs="Palatino Linotype"/>
        </w:rPr>
      </w:pPr>
      <w:r w:rsidRPr="008E35CC">
        <w:rPr>
          <w:rFonts w:eastAsia="Palatino Linotype" w:cs="Palatino Linotype"/>
        </w:rPr>
        <w:t>The performance standard-setting phase in performance measurement is carried out by the Financ</w:t>
      </w:r>
      <w:r w:rsidR="00D171F1">
        <w:rPr>
          <w:rFonts w:eastAsia="Palatino Linotype" w:cs="Palatino Linotype"/>
        </w:rPr>
        <w:t xml:space="preserve">ial Administration Officer </w:t>
      </w:r>
      <w:r w:rsidRPr="008E35CC">
        <w:rPr>
          <w:rFonts w:eastAsia="Palatino Linotype" w:cs="Palatino Linotype"/>
        </w:rPr>
        <w:t>together with the service and production unit managers. Essentially, these performance standards represent the performance targets that must be achieved by the service and production units to generate income. All of these targets are compiled i</w:t>
      </w:r>
      <w:r w:rsidR="00D171F1">
        <w:rPr>
          <w:rFonts w:eastAsia="Palatino Linotype" w:cs="Palatino Linotype"/>
        </w:rPr>
        <w:t>n the Work Plan and Budget</w:t>
      </w:r>
      <w:r w:rsidRPr="008E35CC">
        <w:rPr>
          <w:rFonts w:eastAsia="Palatino Linotype" w:cs="Palatino Linotype"/>
        </w:rPr>
        <w:t xml:space="preserve">, which is subsequently ratified as the </w:t>
      </w:r>
      <w:r w:rsidR="00D171F1">
        <w:rPr>
          <w:rFonts w:eastAsia="Palatino Linotype" w:cs="Palatino Linotype"/>
        </w:rPr>
        <w:t>Budget Management Document</w:t>
      </w:r>
      <w:r w:rsidRPr="008E35CC">
        <w:rPr>
          <w:rFonts w:eastAsia="Palatino Linotype" w:cs="Palatino Linotype"/>
        </w:rPr>
        <w:t xml:space="preserve">. The </w:t>
      </w:r>
      <w:r w:rsidR="00D171F1">
        <w:rPr>
          <w:rFonts w:eastAsia="Palatino Linotype" w:cs="Palatino Linotype"/>
        </w:rPr>
        <w:t xml:space="preserve">Budget Management Document </w:t>
      </w:r>
      <w:r w:rsidRPr="008E35CC">
        <w:rPr>
          <w:rFonts w:eastAsia="Palatino Linotype" w:cs="Palatino Linotype"/>
        </w:rPr>
        <w:t xml:space="preserve">becomes the performance indicator for the managers of the service and production units. The performance indicator setting at </w:t>
      </w:r>
      <w:r w:rsidR="00D02826">
        <w:rPr>
          <w:rFonts w:eastAsia="Palatino Linotype" w:cs="Palatino Linotype"/>
        </w:rPr>
        <w:t>scholl</w:t>
      </w:r>
      <w:r w:rsidR="00D02826" w:rsidRPr="008E35CC">
        <w:rPr>
          <w:rFonts w:eastAsia="Palatino Linotype" w:cs="Palatino Linotype"/>
        </w:rPr>
        <w:t xml:space="preserve"> </w:t>
      </w:r>
      <w:r w:rsidRPr="008E35CC">
        <w:rPr>
          <w:rFonts w:eastAsia="Palatino Linotype" w:cs="Palatino Linotype"/>
        </w:rPr>
        <w:t>aligns with the concept of setting indicators in educational accountability.</w:t>
      </w:r>
    </w:p>
    <w:p w:rsidR="00D171F1" w:rsidRDefault="008E35CC" w:rsidP="00D171F1">
      <w:pPr>
        <w:pBdr>
          <w:top w:val="nil"/>
          <w:left w:val="nil"/>
          <w:bottom w:val="nil"/>
          <w:right w:val="nil"/>
          <w:between w:val="nil"/>
        </w:pBdr>
        <w:spacing w:line="228" w:lineRule="auto"/>
        <w:ind w:firstLine="284"/>
        <w:rPr>
          <w:rFonts w:eastAsia="Palatino Linotype" w:cs="Palatino Linotype"/>
        </w:rPr>
      </w:pPr>
      <w:r w:rsidRPr="008E35CC">
        <w:rPr>
          <w:rFonts w:eastAsia="Palatino Linotype" w:cs="Palatino Linotype"/>
        </w:rPr>
        <w:t>As with performance accountability, after performing evaluations, clarification with the concerned parties is carried out. This clarification aims to understand the obstacles faced during the execution of tasks and pr</w:t>
      </w:r>
      <w:r w:rsidR="00D171F1">
        <w:rPr>
          <w:rFonts w:eastAsia="Palatino Linotype" w:cs="Palatino Linotype"/>
        </w:rPr>
        <w:t xml:space="preserve">ovide guidance for improvement. </w:t>
      </w:r>
      <w:r w:rsidRPr="008E35CC">
        <w:rPr>
          <w:rFonts w:eastAsia="Palatino Linotype" w:cs="Palatino Linotype"/>
        </w:rPr>
        <w:t xml:space="preserve">The results of the evaluation and </w:t>
      </w:r>
      <w:r w:rsidRPr="008E35CC">
        <w:rPr>
          <w:rFonts w:eastAsia="Palatino Linotype" w:cs="Palatino Linotype"/>
        </w:rPr>
        <w:lastRenderedPageBreak/>
        <w:t>clarification will eventually serve as the basis for preparing the financial progress report to be submitted to the provincial government.</w:t>
      </w:r>
    </w:p>
    <w:p w:rsidR="00CE2AFD" w:rsidRDefault="00104E7B">
      <w:pPr>
        <w:pBdr>
          <w:top w:val="nil"/>
          <w:left w:val="nil"/>
          <w:bottom w:val="nil"/>
          <w:right w:val="nil"/>
          <w:between w:val="nil"/>
        </w:pBdr>
        <w:spacing w:before="240" w:after="60" w:line="228" w:lineRule="auto"/>
        <w:jc w:val="left"/>
        <w:rPr>
          <w:rFonts w:eastAsia="Palatino Linotype" w:cs="Palatino Linotype"/>
          <w:b/>
        </w:rPr>
      </w:pPr>
      <w:r>
        <w:rPr>
          <w:rFonts w:eastAsia="Palatino Linotype" w:cs="Palatino Linotype"/>
          <w:b/>
        </w:rPr>
        <w:t>4. Conclusions</w:t>
      </w:r>
    </w:p>
    <w:p w:rsidR="00441C3C" w:rsidRDefault="00441C3C">
      <w:pPr>
        <w:pBdr>
          <w:top w:val="nil"/>
          <w:left w:val="nil"/>
          <w:bottom w:val="nil"/>
          <w:right w:val="nil"/>
          <w:between w:val="nil"/>
        </w:pBdr>
        <w:spacing w:line="228" w:lineRule="auto"/>
        <w:ind w:firstLine="284"/>
        <w:rPr>
          <w:rFonts w:eastAsia="Palatino Linotype" w:cs="Palatino Linotype"/>
        </w:rPr>
      </w:pPr>
      <w:r w:rsidRPr="00441C3C">
        <w:rPr>
          <w:rFonts w:eastAsia="Palatino Linotype" w:cs="Palatino Linotype"/>
        </w:rPr>
        <w:t xml:space="preserve">The purpose of implementing the </w:t>
      </w:r>
      <w:r>
        <w:rPr>
          <w:rFonts w:eastAsia="Palatino Linotype" w:cs="Palatino Linotype"/>
        </w:rPr>
        <w:t>Public Service Agency</w:t>
      </w:r>
      <w:r w:rsidRPr="00441C3C">
        <w:rPr>
          <w:rFonts w:eastAsia="Palatino Linotype" w:cs="Palatino Linotype"/>
        </w:rPr>
        <w:t xml:space="preserve"> system is to strengthen the position of industrial learning in vocational education i</w:t>
      </w:r>
      <w:r>
        <w:rPr>
          <w:rFonts w:eastAsia="Palatino Linotype" w:cs="Palatino Linotype"/>
        </w:rPr>
        <w:t>nstitutions.</w:t>
      </w:r>
      <w:r w:rsidRPr="00441C3C">
        <w:rPr>
          <w:rFonts w:eastAsia="Palatino Linotype" w:cs="Palatino Linotype"/>
        </w:rPr>
        <w:t xml:space="preserve"> With the application of the </w:t>
      </w:r>
      <w:r>
        <w:rPr>
          <w:rFonts w:eastAsia="Palatino Linotype" w:cs="Palatino Linotype"/>
        </w:rPr>
        <w:t>Public Service Agency</w:t>
      </w:r>
      <w:r w:rsidRPr="00441C3C">
        <w:rPr>
          <w:rFonts w:eastAsia="Palatino Linotype" w:cs="Palatino Linotype"/>
        </w:rPr>
        <w:t xml:space="preserve"> system, the institution will adjust its existing governance, which includes organizational governance, financial governance, and accountability governance. The adjustment in organizational governance is carried out by creating a specific structure that hand</w:t>
      </w:r>
      <w:r>
        <w:rPr>
          <w:rFonts w:eastAsia="Palatino Linotype" w:cs="Palatino Linotype"/>
        </w:rPr>
        <w:t>les the financial administration</w:t>
      </w:r>
      <w:r w:rsidRPr="00441C3C">
        <w:rPr>
          <w:rFonts w:eastAsia="Palatino Linotype" w:cs="Palatino Linotype"/>
        </w:rPr>
        <w:t>.</w:t>
      </w:r>
    </w:p>
    <w:p w:rsidR="00CE2AFD" w:rsidRDefault="00104E7B">
      <w:pPr>
        <w:pBdr>
          <w:top w:val="nil"/>
          <w:left w:val="nil"/>
          <w:bottom w:val="nil"/>
          <w:right w:val="nil"/>
          <w:between w:val="nil"/>
        </w:pBdr>
        <w:spacing w:before="240" w:after="60" w:line="228" w:lineRule="auto"/>
        <w:jc w:val="left"/>
        <w:rPr>
          <w:rFonts w:eastAsia="Palatino Linotype" w:cs="Palatino Linotype"/>
          <w:b/>
        </w:rPr>
      </w:pPr>
      <w:r>
        <w:rPr>
          <w:rFonts w:eastAsia="Palatino Linotype" w:cs="Palatino Linotype"/>
          <w:b/>
        </w:rPr>
        <w:t>References</w:t>
      </w:r>
    </w:p>
    <w:p w:rsidR="003E4F0F" w:rsidRPr="003E4F0F" w:rsidRDefault="003E4F0F" w:rsidP="003E4F0F">
      <w:pPr>
        <w:numPr>
          <w:ilvl w:val="0"/>
          <w:numId w:val="1"/>
        </w:numPr>
        <w:pBdr>
          <w:top w:val="nil"/>
          <w:left w:val="nil"/>
          <w:bottom w:val="nil"/>
          <w:right w:val="nil"/>
          <w:between w:val="nil"/>
        </w:pBdr>
        <w:spacing w:line="228" w:lineRule="auto"/>
        <w:ind w:left="426"/>
      </w:pPr>
      <w:r w:rsidRPr="003E4F0F">
        <w:t xml:space="preserve">Hariyanto, W. Desain Implementasi Badan Layanan Umum Daerah pada Sekolah Menengah Kejuruan sebagai Penguatan Pembelajaran Berbasis Industri. </w:t>
      </w:r>
      <w:r w:rsidRPr="003E4F0F">
        <w:rPr>
          <w:i/>
          <w:iCs/>
        </w:rPr>
        <w:t>Jurnal Adminitrasi dan Manajemen Pendidikan</w:t>
      </w:r>
      <w:r w:rsidRPr="003E4F0F">
        <w:t xml:space="preserve">, 2021, </w:t>
      </w:r>
      <w:r w:rsidRPr="003E4F0F">
        <w:rPr>
          <w:i/>
        </w:rPr>
        <w:t>volume 4</w:t>
      </w:r>
      <w:r w:rsidRPr="003E4F0F">
        <w:t>, pp. 121-138.</w:t>
      </w:r>
    </w:p>
    <w:p w:rsidR="008B4CF5" w:rsidRDefault="003E4F0F" w:rsidP="008B4CF5">
      <w:pPr>
        <w:numPr>
          <w:ilvl w:val="0"/>
          <w:numId w:val="1"/>
        </w:numPr>
        <w:pBdr>
          <w:top w:val="nil"/>
          <w:left w:val="nil"/>
          <w:bottom w:val="nil"/>
          <w:right w:val="nil"/>
          <w:between w:val="nil"/>
        </w:pBdr>
        <w:spacing w:line="228" w:lineRule="auto"/>
        <w:ind w:left="426"/>
        <w:rPr>
          <w:rFonts w:eastAsia="Palatino Linotype" w:cs="Palatino Linotype"/>
        </w:rPr>
      </w:pPr>
      <w:r>
        <w:rPr>
          <w:rFonts w:eastAsia="Palatino Linotype" w:cs="Palatino Linotype"/>
        </w:rPr>
        <w:t xml:space="preserve">Khurniawan. </w:t>
      </w:r>
      <w:r w:rsidRPr="003E4F0F">
        <w:rPr>
          <w:rFonts w:eastAsia="Palatino Linotype" w:cs="Palatino Linotype"/>
        </w:rPr>
        <w:t xml:space="preserve">Priority Strategy For Improving The Effectiveness Of Management in Vocational School of Regional Public Service Agency. </w:t>
      </w:r>
      <w:r w:rsidRPr="003E4F0F">
        <w:rPr>
          <w:rFonts w:eastAsia="Palatino Linotype" w:cs="Palatino Linotype"/>
          <w:i/>
        </w:rPr>
        <w:t>Jurnal Pendidikan dan Kebudayaan</w:t>
      </w:r>
      <w:r w:rsidRPr="003E4F0F">
        <w:rPr>
          <w:rFonts w:eastAsia="Palatino Linotype" w:cs="Palatino Linotype"/>
        </w:rPr>
        <w:t xml:space="preserve">, </w:t>
      </w:r>
      <w:r>
        <w:rPr>
          <w:rFonts w:eastAsia="Palatino Linotype" w:cs="Palatino Linotype"/>
        </w:rPr>
        <w:t xml:space="preserve">2001, volume </w:t>
      </w:r>
      <w:r w:rsidRPr="003E4F0F">
        <w:rPr>
          <w:rFonts w:eastAsia="Palatino Linotype" w:cs="Palatino Linotype"/>
          <w:i/>
        </w:rPr>
        <w:t>6</w:t>
      </w:r>
      <w:r w:rsidRPr="003E4F0F">
        <w:rPr>
          <w:rFonts w:eastAsia="Palatino Linotype" w:cs="Palatino Linotype"/>
        </w:rPr>
        <w:t>,</w:t>
      </w:r>
      <w:r>
        <w:rPr>
          <w:rFonts w:eastAsia="Palatino Linotype" w:cs="Palatino Linotype"/>
        </w:rPr>
        <w:t>pp.</w:t>
      </w:r>
      <w:r w:rsidRPr="003E4F0F">
        <w:rPr>
          <w:rFonts w:eastAsia="Palatino Linotype" w:cs="Palatino Linotype"/>
        </w:rPr>
        <w:t xml:space="preserve"> 93-106.</w:t>
      </w:r>
    </w:p>
    <w:p w:rsidR="008B4CF5" w:rsidRPr="008B4CF5" w:rsidRDefault="008B4CF5" w:rsidP="008B4CF5">
      <w:pPr>
        <w:numPr>
          <w:ilvl w:val="0"/>
          <w:numId w:val="1"/>
        </w:numPr>
        <w:pBdr>
          <w:top w:val="nil"/>
          <w:left w:val="nil"/>
          <w:bottom w:val="nil"/>
          <w:right w:val="nil"/>
          <w:between w:val="nil"/>
        </w:pBdr>
        <w:spacing w:line="228" w:lineRule="auto"/>
        <w:ind w:left="426"/>
        <w:rPr>
          <w:rFonts w:eastAsia="Palatino Linotype" w:cs="Palatino Linotype"/>
        </w:rPr>
      </w:pPr>
      <w:r>
        <w:rPr>
          <w:rFonts w:eastAsia="Palatino Linotype" w:cs="Palatino Linotype"/>
          <w:lang w:val="id-ID"/>
        </w:rPr>
        <w:t>Badan Pusat Statistik</w:t>
      </w:r>
      <w:r w:rsidRPr="008B4CF5">
        <w:rPr>
          <w:rFonts w:eastAsia="Palatino Linotype" w:cs="Palatino Linotype"/>
          <w:lang w:val="id-ID"/>
        </w:rPr>
        <w:t xml:space="preserve">. </w:t>
      </w:r>
      <w:r w:rsidRPr="008B4CF5">
        <w:rPr>
          <w:rFonts w:eastAsia="Palatino Linotype" w:cs="Palatino Linotype"/>
          <w:i/>
          <w:lang w:val="id-ID"/>
        </w:rPr>
        <w:t>Provinsi Aceh dalam Angka</w:t>
      </w:r>
      <w:r w:rsidRPr="008B4CF5">
        <w:rPr>
          <w:rFonts w:eastAsia="Palatino Linotype" w:cs="Palatino Linotype"/>
          <w:lang w:val="id-ID"/>
        </w:rPr>
        <w:t>. Banda A</w:t>
      </w:r>
      <w:r>
        <w:rPr>
          <w:rFonts w:eastAsia="Palatino Linotype" w:cs="Palatino Linotype"/>
          <w:lang w:val="id-ID"/>
        </w:rPr>
        <w:t>ceh: Badan Pusat Statistik Aceh</w:t>
      </w:r>
      <w:r>
        <w:rPr>
          <w:rFonts w:eastAsia="Palatino Linotype" w:cs="Palatino Linotype"/>
        </w:rPr>
        <w:t>, 2023.</w:t>
      </w:r>
    </w:p>
    <w:p w:rsidR="00656340" w:rsidRPr="00656340" w:rsidRDefault="00656340" w:rsidP="00656340">
      <w:pPr>
        <w:numPr>
          <w:ilvl w:val="0"/>
          <w:numId w:val="1"/>
        </w:numPr>
        <w:pBdr>
          <w:top w:val="nil"/>
          <w:left w:val="nil"/>
          <w:bottom w:val="nil"/>
          <w:right w:val="nil"/>
          <w:between w:val="nil"/>
        </w:pBdr>
        <w:spacing w:line="228" w:lineRule="auto"/>
        <w:ind w:left="426"/>
        <w:rPr>
          <w:szCs w:val="24"/>
          <w:lang w:val="id"/>
        </w:rPr>
      </w:pPr>
      <w:bookmarkStart w:id="1" w:name="_Hlk160376823"/>
      <w:r w:rsidRPr="00656340">
        <w:rPr>
          <w:szCs w:val="24"/>
          <w:lang w:val="id"/>
        </w:rPr>
        <w:t xml:space="preserve">Auta, M. Work place performance of university technology and vocational education (TVET) student-teachers: A tracer study. </w:t>
      </w:r>
      <w:r w:rsidRPr="00656340">
        <w:rPr>
          <w:i/>
          <w:iCs/>
          <w:szCs w:val="24"/>
          <w:lang w:val="id"/>
        </w:rPr>
        <w:t>Journal Plus Education</w:t>
      </w:r>
      <w:r w:rsidRPr="00656340">
        <w:rPr>
          <w:szCs w:val="24"/>
          <w:lang w:val="id"/>
        </w:rPr>
        <w:t xml:space="preserve">, </w:t>
      </w:r>
      <w:r>
        <w:rPr>
          <w:szCs w:val="24"/>
          <w:lang w:val="id"/>
        </w:rPr>
        <w:t xml:space="preserve">2020, </w:t>
      </w:r>
      <w:r w:rsidRPr="00656340">
        <w:rPr>
          <w:i/>
          <w:szCs w:val="24"/>
          <w:lang w:val="id"/>
        </w:rPr>
        <w:t>volume 26</w:t>
      </w:r>
      <w:r w:rsidRPr="00656340">
        <w:rPr>
          <w:i/>
          <w:szCs w:val="24"/>
        </w:rPr>
        <w:t xml:space="preserve"> </w:t>
      </w:r>
      <w:r w:rsidRPr="00656340">
        <w:rPr>
          <w:i/>
          <w:szCs w:val="24"/>
          <w:lang w:val="id"/>
        </w:rPr>
        <w:t>(1)</w:t>
      </w:r>
      <w:r w:rsidRPr="00656340">
        <w:rPr>
          <w:szCs w:val="24"/>
          <w:lang w:val="id"/>
        </w:rPr>
        <w:t xml:space="preserve">, </w:t>
      </w:r>
      <w:r>
        <w:rPr>
          <w:szCs w:val="24"/>
          <w:lang w:val="id"/>
        </w:rPr>
        <w:t xml:space="preserve">pp. </w:t>
      </w:r>
      <w:r w:rsidRPr="00656340">
        <w:rPr>
          <w:szCs w:val="24"/>
          <w:lang w:val="id"/>
        </w:rPr>
        <w:t>229-238.</w:t>
      </w:r>
    </w:p>
    <w:bookmarkEnd w:id="1"/>
    <w:p w:rsidR="00656340" w:rsidRPr="00656340" w:rsidRDefault="00656340" w:rsidP="00656340">
      <w:pPr>
        <w:numPr>
          <w:ilvl w:val="0"/>
          <w:numId w:val="1"/>
        </w:numPr>
        <w:pBdr>
          <w:top w:val="nil"/>
          <w:left w:val="nil"/>
          <w:bottom w:val="nil"/>
          <w:right w:val="nil"/>
          <w:between w:val="nil"/>
        </w:pBdr>
        <w:spacing w:line="228" w:lineRule="auto"/>
        <w:ind w:left="426"/>
        <w:rPr>
          <w:szCs w:val="24"/>
          <w:lang w:val="id"/>
        </w:rPr>
      </w:pPr>
      <w:r w:rsidRPr="00656340">
        <w:rPr>
          <w:szCs w:val="24"/>
          <w:lang w:val="id"/>
        </w:rPr>
        <w:t xml:space="preserve">Ismayati, E., Muslim, S., Kusumawati, N., Rahmadyanti, E., Hilmi, M., &amp; Wrahatnolo, T. Critical study of research results about TVET and TEFA’s role in social, economic, and education development in the country. </w:t>
      </w:r>
      <w:r w:rsidRPr="00656340">
        <w:rPr>
          <w:i/>
          <w:iCs/>
          <w:szCs w:val="24"/>
          <w:lang w:val="id"/>
        </w:rPr>
        <w:t>Journal of Education, Teaching and Learning</w:t>
      </w:r>
      <w:r w:rsidRPr="00656340">
        <w:rPr>
          <w:szCs w:val="24"/>
          <w:lang w:val="id"/>
        </w:rPr>
        <w:t xml:space="preserve">, </w:t>
      </w:r>
      <w:r>
        <w:rPr>
          <w:szCs w:val="24"/>
          <w:lang w:val="id"/>
        </w:rPr>
        <w:t xml:space="preserve">2020., </w:t>
      </w:r>
      <w:r w:rsidRPr="00656340">
        <w:rPr>
          <w:i/>
          <w:szCs w:val="24"/>
          <w:lang w:val="id"/>
        </w:rPr>
        <w:t>volume 5</w:t>
      </w:r>
      <w:r w:rsidRPr="00656340">
        <w:rPr>
          <w:i/>
          <w:szCs w:val="24"/>
        </w:rPr>
        <w:t xml:space="preserve"> </w:t>
      </w:r>
      <w:r w:rsidRPr="00656340">
        <w:rPr>
          <w:i/>
          <w:szCs w:val="24"/>
          <w:lang w:val="id"/>
        </w:rPr>
        <w:t>(1)</w:t>
      </w:r>
      <w:r>
        <w:rPr>
          <w:szCs w:val="24"/>
          <w:lang w:val="id"/>
        </w:rPr>
        <w:t xml:space="preserve">, pp. </w:t>
      </w:r>
      <w:r w:rsidRPr="00656340">
        <w:rPr>
          <w:szCs w:val="24"/>
          <w:lang w:val="id"/>
        </w:rPr>
        <w:t>106-113.</w:t>
      </w:r>
    </w:p>
    <w:p w:rsidR="00656340" w:rsidRDefault="00656340" w:rsidP="00656340">
      <w:pPr>
        <w:numPr>
          <w:ilvl w:val="0"/>
          <w:numId w:val="1"/>
        </w:numPr>
        <w:pBdr>
          <w:top w:val="nil"/>
          <w:left w:val="nil"/>
          <w:bottom w:val="nil"/>
          <w:right w:val="nil"/>
          <w:between w:val="nil"/>
        </w:pBdr>
        <w:spacing w:line="228" w:lineRule="auto"/>
        <w:ind w:left="426"/>
        <w:rPr>
          <w:szCs w:val="24"/>
          <w:lang w:val="id"/>
        </w:rPr>
      </w:pPr>
      <w:r>
        <w:rPr>
          <w:szCs w:val="24"/>
          <w:lang w:val="id"/>
        </w:rPr>
        <w:t xml:space="preserve">Okolie, U. C. </w:t>
      </w:r>
      <w:r w:rsidRPr="00656340">
        <w:rPr>
          <w:szCs w:val="24"/>
          <w:lang w:val="id"/>
        </w:rPr>
        <w:t xml:space="preserve">A critical perspective on TVET teachers’ pedagogical practices: insights into the guiding pedagogical principles in practice. </w:t>
      </w:r>
      <w:r w:rsidRPr="00656340">
        <w:rPr>
          <w:i/>
          <w:iCs/>
          <w:szCs w:val="24"/>
          <w:lang w:val="id"/>
        </w:rPr>
        <w:t>Journal of Vocational Education &amp; Training</w:t>
      </w:r>
      <w:r w:rsidRPr="00656340">
        <w:rPr>
          <w:szCs w:val="24"/>
          <w:lang w:val="id"/>
        </w:rPr>
        <w:t xml:space="preserve">, </w:t>
      </w:r>
      <w:r>
        <w:rPr>
          <w:szCs w:val="24"/>
          <w:lang w:val="id"/>
        </w:rPr>
        <w:t xml:space="preserve">2021, </w:t>
      </w:r>
      <w:r w:rsidRPr="00656340">
        <w:rPr>
          <w:i/>
          <w:szCs w:val="24"/>
          <w:lang w:val="id"/>
        </w:rPr>
        <w:t>volume</w:t>
      </w:r>
      <w:r>
        <w:rPr>
          <w:i/>
          <w:szCs w:val="24"/>
          <w:lang w:val="id"/>
        </w:rPr>
        <w:t xml:space="preserve"> 9,</w:t>
      </w:r>
      <w:r>
        <w:rPr>
          <w:szCs w:val="24"/>
          <w:lang w:val="id"/>
        </w:rPr>
        <w:t xml:space="preserve"> pp. 1-20.</w:t>
      </w:r>
    </w:p>
    <w:p w:rsidR="00656340" w:rsidRPr="00656340" w:rsidRDefault="00656340" w:rsidP="00656340">
      <w:pPr>
        <w:numPr>
          <w:ilvl w:val="0"/>
          <w:numId w:val="1"/>
        </w:numPr>
        <w:pBdr>
          <w:top w:val="nil"/>
          <w:left w:val="nil"/>
          <w:bottom w:val="nil"/>
          <w:right w:val="nil"/>
          <w:between w:val="nil"/>
        </w:pBdr>
        <w:spacing w:line="228" w:lineRule="auto"/>
        <w:ind w:left="426"/>
        <w:rPr>
          <w:szCs w:val="24"/>
        </w:rPr>
      </w:pPr>
      <w:r>
        <w:rPr>
          <w:szCs w:val="24"/>
        </w:rPr>
        <w:t>Rianti, A</w:t>
      </w:r>
      <w:r w:rsidRPr="00656340">
        <w:rPr>
          <w:szCs w:val="24"/>
        </w:rPr>
        <w:t xml:space="preserve">. </w:t>
      </w:r>
      <w:r w:rsidRPr="00656340">
        <w:rPr>
          <w:i/>
          <w:iCs/>
          <w:szCs w:val="24"/>
        </w:rPr>
        <w:t>Model Pengawasan Keuangan Pada Badan Layanan Umum Daerah</w:t>
      </w:r>
      <w:r w:rsidRPr="00656340">
        <w:rPr>
          <w:szCs w:val="24"/>
        </w:rPr>
        <w:t xml:space="preserve"> (BLUD). </w:t>
      </w:r>
      <w:r w:rsidRPr="00656340">
        <w:rPr>
          <w:i/>
          <w:iCs/>
          <w:szCs w:val="24"/>
        </w:rPr>
        <w:t>Jurnal Dialog Islam dengan Realitas</w:t>
      </w:r>
      <w:r w:rsidRPr="00656340">
        <w:rPr>
          <w:szCs w:val="24"/>
        </w:rPr>
        <w:t xml:space="preserve">, </w:t>
      </w:r>
      <w:r>
        <w:rPr>
          <w:szCs w:val="24"/>
        </w:rPr>
        <w:t xml:space="preserve">2021, </w:t>
      </w:r>
      <w:r w:rsidRPr="00656340">
        <w:rPr>
          <w:i/>
          <w:szCs w:val="24"/>
        </w:rPr>
        <w:t>volume 6 (2)</w:t>
      </w:r>
      <w:r w:rsidRPr="00656340">
        <w:rPr>
          <w:szCs w:val="24"/>
        </w:rPr>
        <w:t xml:space="preserve">, </w:t>
      </w:r>
      <w:r>
        <w:rPr>
          <w:szCs w:val="24"/>
        </w:rPr>
        <w:t xml:space="preserve">pp. </w:t>
      </w:r>
      <w:r w:rsidRPr="00656340">
        <w:rPr>
          <w:szCs w:val="24"/>
        </w:rPr>
        <w:t>239-256.</w:t>
      </w:r>
    </w:p>
    <w:p w:rsidR="00656340" w:rsidRPr="00F40F24" w:rsidRDefault="00656340" w:rsidP="00656340">
      <w:pPr>
        <w:numPr>
          <w:ilvl w:val="0"/>
          <w:numId w:val="1"/>
        </w:numPr>
        <w:pBdr>
          <w:top w:val="nil"/>
          <w:left w:val="nil"/>
          <w:bottom w:val="nil"/>
          <w:right w:val="nil"/>
          <w:between w:val="nil"/>
        </w:pBdr>
        <w:spacing w:line="228" w:lineRule="auto"/>
        <w:ind w:left="426"/>
        <w:rPr>
          <w:rFonts w:eastAsia="Palatino Linotype" w:cs="Palatino Linotype"/>
        </w:rPr>
      </w:pPr>
      <w:r w:rsidRPr="00656340">
        <w:rPr>
          <w:rFonts w:eastAsia="Palatino Linotype" w:cs="Palatino Linotype"/>
        </w:rPr>
        <w:t xml:space="preserve">Majeca, M. Good governance enhance the efficiency and effectiveness public spending-Sub Saharan countries. </w:t>
      </w:r>
      <w:r w:rsidRPr="00656340">
        <w:rPr>
          <w:rFonts w:eastAsia="Palatino Linotype" w:cs="Palatino Linotype"/>
          <w:i/>
          <w:iCs/>
        </w:rPr>
        <w:t>African Journal of Business Management</w:t>
      </w:r>
      <w:r w:rsidRPr="00656340">
        <w:rPr>
          <w:rFonts w:eastAsia="Palatino Linotype" w:cs="Palatino Linotype"/>
        </w:rPr>
        <w:t>,</w:t>
      </w:r>
      <w:r w:rsidR="00F40F24" w:rsidRPr="00F40F24">
        <w:rPr>
          <w:rFonts w:eastAsia="Palatino Linotype" w:cs="Palatino Linotype"/>
        </w:rPr>
        <w:t xml:space="preserve"> </w:t>
      </w:r>
      <w:r w:rsidR="00F40F24">
        <w:rPr>
          <w:rFonts w:eastAsia="Palatino Linotype" w:cs="Palatino Linotype"/>
        </w:rPr>
        <w:t xml:space="preserve">2021, </w:t>
      </w:r>
      <w:r w:rsidR="00F40F24" w:rsidRPr="00F40F24">
        <w:rPr>
          <w:rFonts w:eastAsia="Palatino Linotype" w:cs="Palatino Linotype"/>
          <w:i/>
        </w:rPr>
        <w:t xml:space="preserve">volume </w:t>
      </w:r>
      <w:r w:rsidRPr="00F40F24">
        <w:rPr>
          <w:rFonts w:eastAsia="Palatino Linotype" w:cs="Palatino Linotype"/>
          <w:i/>
        </w:rPr>
        <w:t>5(11)</w:t>
      </w:r>
      <w:r w:rsidR="00F40F24">
        <w:rPr>
          <w:rFonts w:eastAsia="Palatino Linotype" w:cs="Palatino Linotype"/>
        </w:rPr>
        <w:t xml:space="preserve">, pp. </w:t>
      </w:r>
      <w:r w:rsidRPr="00656340">
        <w:rPr>
          <w:rFonts w:eastAsia="Palatino Linotype" w:cs="Palatino Linotype"/>
        </w:rPr>
        <w:t>3995-399.</w:t>
      </w:r>
    </w:p>
    <w:p w:rsidR="00656340" w:rsidRPr="00656340" w:rsidRDefault="00F40F24" w:rsidP="00F40F24">
      <w:pPr>
        <w:numPr>
          <w:ilvl w:val="0"/>
          <w:numId w:val="1"/>
        </w:numPr>
        <w:pBdr>
          <w:top w:val="nil"/>
          <w:left w:val="nil"/>
          <w:bottom w:val="nil"/>
          <w:right w:val="nil"/>
          <w:between w:val="nil"/>
        </w:pBdr>
        <w:spacing w:line="228" w:lineRule="auto"/>
        <w:ind w:left="426"/>
        <w:rPr>
          <w:rFonts w:eastAsia="Palatino Linotype" w:cs="Palatino Linotype"/>
        </w:rPr>
      </w:pPr>
      <w:r>
        <w:rPr>
          <w:rFonts w:eastAsia="Palatino Linotype" w:cs="Palatino Linotype"/>
        </w:rPr>
        <w:t xml:space="preserve">Sabas, J. &amp; Mokaya, S.O. </w:t>
      </w:r>
      <w:r w:rsidR="00656340" w:rsidRPr="00656340">
        <w:rPr>
          <w:rFonts w:eastAsia="Palatino Linotype" w:cs="Palatino Linotype"/>
        </w:rPr>
        <w:t xml:space="preserve">The influence of governance systems on students performance in public secondary schools in Karatu. </w:t>
      </w:r>
      <w:r w:rsidR="00656340" w:rsidRPr="00656340">
        <w:rPr>
          <w:rFonts w:eastAsia="Palatino Linotype" w:cs="Palatino Linotype"/>
          <w:i/>
          <w:iCs/>
        </w:rPr>
        <w:t>International Journal of Science and Research</w:t>
      </w:r>
      <w:r w:rsidR="00656340" w:rsidRPr="00656340">
        <w:rPr>
          <w:rFonts w:eastAsia="Palatino Linotype" w:cs="Palatino Linotype"/>
        </w:rPr>
        <w:t xml:space="preserve">, </w:t>
      </w:r>
      <w:r>
        <w:rPr>
          <w:rFonts w:eastAsia="Palatino Linotype" w:cs="Palatino Linotype"/>
        </w:rPr>
        <w:t xml:space="preserve">2021, </w:t>
      </w:r>
      <w:r w:rsidRPr="00F40F24">
        <w:rPr>
          <w:rFonts w:eastAsia="Palatino Linotype" w:cs="Palatino Linotype"/>
          <w:i/>
        </w:rPr>
        <w:t xml:space="preserve">volume </w:t>
      </w:r>
      <w:r w:rsidR="00656340" w:rsidRPr="00F40F24">
        <w:rPr>
          <w:rFonts w:eastAsia="Palatino Linotype" w:cs="Palatino Linotype"/>
          <w:i/>
        </w:rPr>
        <w:t>5(10)</w:t>
      </w:r>
      <w:r w:rsidR="00656340" w:rsidRPr="00656340">
        <w:rPr>
          <w:rFonts w:eastAsia="Palatino Linotype" w:cs="Palatino Linotype"/>
        </w:rPr>
        <w:t xml:space="preserve">, </w:t>
      </w:r>
      <w:r>
        <w:rPr>
          <w:rFonts w:eastAsia="Palatino Linotype" w:cs="Palatino Linotype"/>
        </w:rPr>
        <w:t xml:space="preserve">pp. </w:t>
      </w:r>
      <w:r w:rsidR="00656340" w:rsidRPr="00656340">
        <w:rPr>
          <w:rFonts w:eastAsia="Palatino Linotype" w:cs="Palatino Linotype"/>
        </w:rPr>
        <w:t>1595-1598.</w:t>
      </w:r>
    </w:p>
    <w:p w:rsidR="00C753BE" w:rsidRDefault="00656340" w:rsidP="008B4CF5">
      <w:pPr>
        <w:numPr>
          <w:ilvl w:val="0"/>
          <w:numId w:val="1"/>
        </w:numPr>
        <w:pBdr>
          <w:top w:val="nil"/>
          <w:left w:val="nil"/>
          <w:bottom w:val="nil"/>
          <w:right w:val="nil"/>
          <w:between w:val="nil"/>
        </w:pBdr>
        <w:spacing w:line="228" w:lineRule="auto"/>
        <w:ind w:left="426"/>
        <w:rPr>
          <w:szCs w:val="24"/>
        </w:rPr>
      </w:pPr>
      <w:r w:rsidRPr="00001329">
        <w:rPr>
          <w:szCs w:val="24"/>
        </w:rPr>
        <w:t>Fajriana dan Siraj.</w:t>
      </w:r>
      <w:r w:rsidR="00F40F24">
        <w:rPr>
          <w:szCs w:val="24"/>
        </w:rPr>
        <w:t xml:space="preserve"> </w:t>
      </w:r>
      <w:r w:rsidRPr="00001329">
        <w:rPr>
          <w:szCs w:val="24"/>
        </w:rPr>
        <w:t xml:space="preserve">Analisis Model Good School Governance pada Sekolah Vokasi. </w:t>
      </w:r>
      <w:r w:rsidRPr="00001329">
        <w:rPr>
          <w:i/>
          <w:iCs/>
          <w:szCs w:val="24"/>
        </w:rPr>
        <w:t>Jurnal Pendidikan dan Konseling</w:t>
      </w:r>
      <w:r w:rsidRPr="00001329">
        <w:rPr>
          <w:szCs w:val="24"/>
        </w:rPr>
        <w:t xml:space="preserve">, </w:t>
      </w:r>
      <w:r w:rsidR="00F40F24">
        <w:rPr>
          <w:szCs w:val="24"/>
        </w:rPr>
        <w:t xml:space="preserve">2023, </w:t>
      </w:r>
      <w:r w:rsidR="00F40F24" w:rsidRPr="00F40F24">
        <w:rPr>
          <w:i/>
          <w:szCs w:val="24"/>
        </w:rPr>
        <w:t xml:space="preserve">volume </w:t>
      </w:r>
      <w:r w:rsidRPr="00F40F24">
        <w:rPr>
          <w:i/>
          <w:szCs w:val="24"/>
        </w:rPr>
        <w:t>5</w:t>
      </w:r>
      <w:r w:rsidR="00F40F24" w:rsidRPr="00F40F24">
        <w:rPr>
          <w:i/>
          <w:szCs w:val="24"/>
        </w:rPr>
        <w:t xml:space="preserve"> </w:t>
      </w:r>
      <w:r w:rsidRPr="00F40F24">
        <w:rPr>
          <w:i/>
          <w:szCs w:val="24"/>
        </w:rPr>
        <w:t>(1)</w:t>
      </w:r>
      <w:r w:rsidRPr="00001329">
        <w:rPr>
          <w:szCs w:val="24"/>
        </w:rPr>
        <w:t xml:space="preserve">, </w:t>
      </w:r>
      <w:r w:rsidR="00F40F24">
        <w:rPr>
          <w:szCs w:val="24"/>
        </w:rPr>
        <w:t xml:space="preserve">pp. </w:t>
      </w:r>
      <w:r w:rsidRPr="00001329">
        <w:rPr>
          <w:szCs w:val="24"/>
        </w:rPr>
        <w:t>1777-1785.</w:t>
      </w:r>
    </w:p>
    <w:p w:rsidR="008B4CF5" w:rsidRPr="00C753BE" w:rsidRDefault="00C753BE" w:rsidP="008B4CF5">
      <w:pPr>
        <w:numPr>
          <w:ilvl w:val="0"/>
          <w:numId w:val="1"/>
        </w:numPr>
        <w:pBdr>
          <w:top w:val="nil"/>
          <w:left w:val="nil"/>
          <w:bottom w:val="nil"/>
          <w:right w:val="nil"/>
          <w:between w:val="nil"/>
        </w:pBdr>
        <w:spacing w:line="228" w:lineRule="auto"/>
        <w:ind w:left="426"/>
        <w:rPr>
          <w:szCs w:val="24"/>
        </w:rPr>
      </w:pPr>
      <w:r w:rsidRPr="00C753BE">
        <w:rPr>
          <w:rFonts w:eastAsia="Palatino Linotype" w:cs="Palatino Linotype"/>
        </w:rPr>
        <w:t>Miles, M. B. &amp; Huberman, A. M., Qualitative Data Analysis, CA: Sage Publication, 1994.</w:t>
      </w:r>
    </w:p>
    <w:p w:rsidR="00CE2AFD" w:rsidRDefault="00CE2AFD"/>
    <w:sectPr w:rsidR="00CE2AFD">
      <w:headerReference w:type="default" r:id="rId10"/>
      <w:footerReference w:type="default" r:id="rId11"/>
      <w:headerReference w:type="first" r:id="rId12"/>
      <w:footerReference w:type="first" r:id="rId13"/>
      <w:pgSz w:w="11906" w:h="16838"/>
      <w:pgMar w:top="1985" w:right="1701" w:bottom="1701" w:left="1701" w:header="1135"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18" w:rsidRDefault="00D06D18">
      <w:pPr>
        <w:spacing w:line="240" w:lineRule="auto"/>
      </w:pPr>
      <w:r>
        <w:separator/>
      </w:r>
    </w:p>
  </w:endnote>
  <w:endnote w:type="continuationSeparator" w:id="0">
    <w:p w:rsidR="00D06D18" w:rsidRDefault="00D06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FD" w:rsidRDefault="00104E7B">
    <w:pPr>
      <w:pBdr>
        <w:top w:val="nil"/>
        <w:left w:val="nil"/>
        <w:bottom w:val="nil"/>
        <w:right w:val="nil"/>
        <w:between w:val="nil"/>
      </w:pBdr>
      <w:tabs>
        <w:tab w:val="center" w:pos="4252"/>
        <w:tab w:val="right" w:pos="8504"/>
      </w:tabs>
      <w:spacing w:line="240" w:lineRule="auto"/>
      <w:jc w:val="right"/>
      <w:rPr>
        <w:rFonts w:eastAsia="Palatino Linotype" w:cs="Palatino Linotype"/>
      </w:rPr>
    </w:pPr>
    <w:r>
      <w:rPr>
        <w:rFonts w:eastAsia="Palatino Linotype" w:cs="Palatino Linotype"/>
        <w:b/>
      </w:rPr>
      <w:t>Proceedings of MICoMS</w:t>
    </w:r>
    <w:r>
      <w:rPr>
        <w:rFonts w:eastAsia="Palatino Linotype" w:cs="Palatino Linotype"/>
      </w:rPr>
      <w:t xml:space="preserve"> | </w:t>
    </w:r>
    <w:r>
      <w:rPr>
        <w:rFonts w:eastAsia="Palatino Linotype" w:cs="Palatino Linotype"/>
      </w:rPr>
      <w:fldChar w:fldCharType="begin"/>
    </w:r>
    <w:r>
      <w:rPr>
        <w:rFonts w:eastAsia="Palatino Linotype" w:cs="Palatino Linotype"/>
      </w:rPr>
      <w:instrText>PAGE</w:instrText>
    </w:r>
    <w:r>
      <w:rPr>
        <w:rFonts w:eastAsia="Palatino Linotype" w:cs="Palatino Linotype"/>
      </w:rPr>
      <w:fldChar w:fldCharType="separate"/>
    </w:r>
    <w:r w:rsidR="009A7E98">
      <w:rPr>
        <w:rFonts w:eastAsia="Palatino Linotype" w:cs="Palatino Linotype"/>
      </w:rPr>
      <w:t>4</w:t>
    </w:r>
    <w:r>
      <w:rPr>
        <w:rFonts w:eastAsia="Palatino Linotype" w:cs="Palatino Linotype"/>
      </w:rPr>
      <w:fldChar w:fldCharType="end"/>
    </w:r>
    <w:r>
      <w:rPr>
        <w:rFonts w:eastAsia="Palatino Linotype" w:cs="Palatino Linotype"/>
      </w:rPr>
      <w:t xml:space="preserve"> </w:t>
    </w:r>
  </w:p>
  <w:p w:rsidR="00CE2AFD" w:rsidRDefault="00CE2AFD">
    <w:pPr>
      <w:pBdr>
        <w:top w:val="nil"/>
        <w:left w:val="nil"/>
        <w:bottom w:val="nil"/>
        <w:right w:val="nil"/>
        <w:between w:val="nil"/>
      </w:pBdr>
      <w:tabs>
        <w:tab w:val="center" w:pos="4252"/>
        <w:tab w:val="right" w:pos="8504"/>
      </w:tabs>
      <w:spacing w:line="240" w:lineRule="auto"/>
      <w:rPr>
        <w:rFonts w:eastAsia="Palatino Linotype" w:cs="Palatino Linotyp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FD" w:rsidRDefault="00104E7B">
    <w:pPr>
      <w:pBdr>
        <w:top w:val="nil"/>
        <w:left w:val="nil"/>
        <w:bottom w:val="nil"/>
        <w:right w:val="nil"/>
        <w:between w:val="nil"/>
      </w:pBdr>
      <w:tabs>
        <w:tab w:val="center" w:pos="4252"/>
        <w:tab w:val="right" w:pos="8504"/>
      </w:tabs>
      <w:spacing w:line="240" w:lineRule="auto"/>
      <w:jc w:val="left"/>
      <w:rPr>
        <w:rFonts w:eastAsia="Palatino Linotype" w:cs="Palatino Linotype"/>
        <w:sz w:val="22"/>
        <w:szCs w:val="22"/>
      </w:rPr>
    </w:pPr>
    <w:r>
      <w:rPr>
        <w:rFonts w:eastAsia="Palatino Linotype" w:cs="Palatino Linotype"/>
      </w:rPr>
      <w:tab/>
    </w:r>
    <w:r>
      <w:rPr>
        <w:rFonts w:eastAsia="Palatino Linotype" w:cs="Palatino Linotype"/>
      </w:rPr>
      <w:tab/>
    </w:r>
    <w:r>
      <w:rPr>
        <w:rFonts w:eastAsia="Palatino Linotype" w:cs="Palatino Linotype"/>
        <w:sz w:val="22"/>
        <w:szCs w:val="22"/>
      </w:rPr>
      <w:fldChar w:fldCharType="begin"/>
    </w:r>
    <w:r>
      <w:rPr>
        <w:rFonts w:eastAsia="Palatino Linotype" w:cs="Palatino Linotype"/>
        <w:sz w:val="22"/>
        <w:szCs w:val="22"/>
      </w:rPr>
      <w:instrText>PAGE</w:instrText>
    </w:r>
    <w:r>
      <w:rPr>
        <w:rFonts w:eastAsia="Palatino Linotype" w:cs="Palatino Linotype"/>
        <w:sz w:val="22"/>
        <w:szCs w:val="22"/>
      </w:rPr>
      <w:fldChar w:fldCharType="separate"/>
    </w:r>
    <w:r w:rsidR="009A7E98">
      <w:rPr>
        <w:rFonts w:eastAsia="Palatino Linotype" w:cs="Palatino Linotype"/>
        <w:sz w:val="22"/>
        <w:szCs w:val="22"/>
      </w:rPr>
      <w:t>1</w:t>
    </w:r>
    <w:r>
      <w:rPr>
        <w:rFonts w:eastAsia="Palatino Linotype" w:cs="Palatino Linotype"/>
        <w:sz w:val="22"/>
        <w:szCs w:val="22"/>
      </w:rPr>
      <w:fldChar w:fldCharType="end"/>
    </w:r>
  </w:p>
  <w:p w:rsidR="00CE2AFD" w:rsidRDefault="00104E7B">
    <w:pPr>
      <w:pBdr>
        <w:top w:val="nil"/>
        <w:left w:val="nil"/>
        <w:bottom w:val="nil"/>
        <w:right w:val="nil"/>
        <w:between w:val="nil"/>
      </w:pBdr>
      <w:tabs>
        <w:tab w:val="center" w:pos="4252"/>
        <w:tab w:val="right" w:pos="8504"/>
      </w:tabs>
      <w:spacing w:line="240" w:lineRule="auto"/>
      <w:rPr>
        <w:rFonts w:eastAsia="Palatino Linotype" w:cs="Palatino Linotype"/>
      </w:rPr>
    </w:pPr>
    <w:r>
      <w:rPr>
        <w:rFonts w:eastAsia="Palatino Linotype" w:cs="Palatino Linotype"/>
        <w:lang w:eastAsia="en-US"/>
      </w:rPr>
      <w:drawing>
        <wp:inline distT="0" distB="0" distL="0" distR="0">
          <wp:extent cx="838200" cy="295275"/>
          <wp:effectExtent l="0" t="0" r="0" b="0"/>
          <wp:docPr id="1396249827"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527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18" w:rsidRDefault="00D06D18">
      <w:pPr>
        <w:spacing w:line="240" w:lineRule="auto"/>
      </w:pPr>
      <w:r>
        <w:separator/>
      </w:r>
    </w:p>
  </w:footnote>
  <w:footnote w:type="continuationSeparator" w:id="0">
    <w:p w:rsidR="00D06D18" w:rsidRDefault="00D06D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FD" w:rsidRDefault="00104E7B">
    <w:pPr>
      <w:pBdr>
        <w:top w:val="nil"/>
        <w:left w:val="nil"/>
        <w:bottom w:val="nil"/>
        <w:right w:val="nil"/>
        <w:between w:val="nil"/>
      </w:pBdr>
      <w:tabs>
        <w:tab w:val="center" w:pos="4252"/>
        <w:tab w:val="right" w:pos="8504"/>
      </w:tabs>
      <w:spacing w:line="240" w:lineRule="auto"/>
      <w:rPr>
        <w:rFonts w:eastAsia="Palatino Linotype" w:cs="Palatino Linotype"/>
      </w:rPr>
    </w:pPr>
    <w:r>
      <w:rPr>
        <w:rFonts w:eastAsia="Palatino Linotype" w:cs="Palatino Linotype"/>
      </w:rPr>
      <w:t>S</w:t>
    </w:r>
    <w:r w:rsidR="008E35CC">
      <w:rPr>
        <w:rFonts w:eastAsia="Palatino Linotype" w:cs="Palatino Linotype"/>
      </w:rPr>
      <w:t>iraj</w:t>
    </w:r>
    <w:r>
      <w:rPr>
        <w:rFonts w:eastAsia="Palatino Linotype" w:cs="Palatino Linotype"/>
      </w:rPr>
      <w:t xml:space="preserve"> et al.</w:t>
    </w:r>
    <w:r>
      <w:rPr>
        <w:rFonts w:eastAsia="Palatino Linotype" w:cs="Palatino Linotype"/>
      </w:rPr>
      <w:tab/>
    </w:r>
    <w:r>
      <w:rPr>
        <w:rFonts w:eastAsia="Palatino Linotype" w:cs="Palatino Linotype"/>
      </w:rPr>
      <w:tab/>
      <w:t>Proceedings MICoMS 2024, Page (1 to 10)</w:t>
    </w:r>
    <w:r>
      <w:rPr>
        <w:lang w:eastAsia="en-US"/>
      </w:rPr>
      <mc:AlternateContent>
        <mc:Choice Requires="wps">
          <w:drawing>
            <wp:anchor distT="0" distB="0" distL="114300" distR="114300" simplePos="0" relativeHeight="251658240" behindDoc="0" locked="0" layoutInCell="1" hidden="0" allowOverlap="1">
              <wp:simplePos x="0" y="0"/>
              <wp:positionH relativeFrom="column">
                <wp:posOffset>-406399</wp:posOffset>
              </wp:positionH>
              <wp:positionV relativeFrom="paragraph">
                <wp:posOffset>241300</wp:posOffset>
              </wp:positionV>
              <wp:extent cx="635" cy="28575"/>
              <wp:effectExtent l="0" t="0" r="0" b="0"/>
              <wp:wrapNone/>
              <wp:docPr id="1396249824" name="Straight Arrow Connector 1396249824"/>
              <wp:cNvGraphicFramePr/>
              <a:graphic xmlns:a="http://schemas.openxmlformats.org/drawingml/2006/main">
                <a:graphicData uri="http://schemas.microsoft.com/office/word/2010/wordprocessingShape">
                  <wps:wsp>
                    <wps:cNvCnPr/>
                    <wps:spPr>
                      <a:xfrm>
                        <a:off x="2250693" y="3779683"/>
                        <a:ext cx="6190615" cy="635"/>
                      </a:xfrm>
                      <a:prstGeom prst="straightConnector1">
                        <a:avLst/>
                      </a:prstGeom>
                      <a:noFill/>
                      <a:ln w="28575" cap="flat" cmpd="sng">
                        <a:solidFill>
                          <a:srgbClr val="8296B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-406399</wp:posOffset>
              </wp:positionH>
              <wp:positionV relativeFrom="paragraph">
                <wp:posOffset>241300</wp:posOffset>
              </wp:positionV>
              <wp:extent cx="635" cy="28575"/>
              <wp:effectExtent b="0" l="0" r="0" t="0"/>
              <wp:wrapNone/>
              <wp:docPr id="139624982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35" cy="28575"/>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FD" w:rsidRDefault="00104E7B">
    <w:r>
      <w:t xml:space="preserve"> </w:t>
    </w:r>
    <w:r>
      <w:rPr>
        <w:lang w:eastAsia="en-US"/>
      </w:rPr>
      <w:drawing>
        <wp:anchor distT="0" distB="0" distL="0" distR="0" simplePos="0" relativeHeight="251659264" behindDoc="1" locked="0" layoutInCell="1" hidden="0" allowOverlap="1">
          <wp:simplePos x="0" y="0"/>
          <wp:positionH relativeFrom="column">
            <wp:posOffset>43815</wp:posOffset>
          </wp:positionH>
          <wp:positionV relativeFrom="paragraph">
            <wp:posOffset>-640714</wp:posOffset>
          </wp:positionV>
          <wp:extent cx="5400040" cy="1043940"/>
          <wp:effectExtent l="0" t="0" r="0" b="0"/>
          <wp:wrapNone/>
          <wp:docPr id="13962498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400040" cy="1043940"/>
                  </a:xfrm>
                  <a:prstGeom prst="rect">
                    <a:avLst/>
                  </a:prstGeom>
                  <a:ln/>
                </pic:spPr>
              </pic:pic>
            </a:graphicData>
          </a:graphic>
        </wp:anchor>
      </w:drawing>
    </w:r>
    <w:r>
      <w:rPr>
        <w:lang w:eastAsia="en-US"/>
      </w:rPr>
      <mc:AlternateContent>
        <mc:Choice Requires="wps">
          <w:drawing>
            <wp:anchor distT="0" distB="0" distL="114300" distR="114300" simplePos="0" relativeHeight="251660288" behindDoc="0" locked="0" layoutInCell="1" hidden="0" allowOverlap="1">
              <wp:simplePos x="0" y="0"/>
              <wp:positionH relativeFrom="column">
                <wp:posOffset>800100</wp:posOffset>
              </wp:positionH>
              <wp:positionV relativeFrom="paragraph">
                <wp:posOffset>63500</wp:posOffset>
              </wp:positionV>
              <wp:extent cx="3486150" cy="300990"/>
              <wp:effectExtent l="0" t="0" r="0" b="0"/>
              <wp:wrapNone/>
              <wp:docPr id="1396249823" name="Rectangle 1396249823"/>
              <wp:cNvGraphicFramePr/>
              <a:graphic xmlns:a="http://schemas.openxmlformats.org/drawingml/2006/main">
                <a:graphicData uri="http://schemas.microsoft.com/office/word/2010/wordprocessingShape">
                  <wps:wsp>
                    <wps:cNvSpPr/>
                    <wps:spPr>
                      <a:xfrm>
                        <a:off x="3607688" y="3634268"/>
                        <a:ext cx="3476625" cy="291465"/>
                      </a:xfrm>
                      <a:prstGeom prst="rect">
                        <a:avLst/>
                      </a:prstGeom>
                      <a:noFill/>
                      <a:ln>
                        <a:noFill/>
                      </a:ln>
                    </wps:spPr>
                    <wps:txbx>
                      <w:txbxContent>
                        <w:p w:rsidR="00CE2AFD" w:rsidRDefault="00104E7B">
                          <w:pPr>
                            <w:spacing w:line="240" w:lineRule="auto"/>
                            <w:jc w:val="left"/>
                            <w:textDirection w:val="btLr"/>
                          </w:pPr>
                          <w:r>
                            <w:rPr>
                              <w:rFonts w:ascii="Constantia" w:eastAsia="Constantia" w:hAnsi="Constantia" w:cs="Constantia"/>
                              <w:b/>
                              <w:i/>
                              <w:color w:val="FFFFFF"/>
                              <w:sz w:val="22"/>
                            </w:rPr>
                            <w:t>x</w:t>
                          </w:r>
                          <w:r>
                            <w:rPr>
                              <w:rFonts w:ascii="Constantia" w:eastAsia="Constantia" w:hAnsi="Constantia" w:cs="Constantia"/>
                              <w:b/>
                              <w:color w:val="FFFFFF"/>
                              <w:sz w:val="22"/>
                            </w:rPr>
                            <w:t xml:space="preserve"> (x) (20xx) x-xx </w:t>
                          </w:r>
                          <w:r>
                            <w:rPr>
                              <w:rFonts w:ascii="Constantia" w:eastAsia="Constantia" w:hAnsi="Constantia" w:cs="Constantia"/>
                              <w:b/>
                              <w:color w:val="FFFFFF"/>
                              <w:sz w:val="18"/>
                            </w:rPr>
                            <w:t>(</w:t>
                          </w:r>
                          <w:r>
                            <w:rPr>
                              <w:rFonts w:ascii="Constantia" w:eastAsia="Constantia" w:hAnsi="Constantia" w:cs="Constantia"/>
                              <w:color w:val="FFFFFF"/>
                              <w:sz w:val="18"/>
                            </w:rPr>
                            <w:t>Volume x, Number x, Month 20xx. xx-xx)</w:t>
                          </w:r>
                        </w:p>
                      </w:txbxContent>
                    </wps:txbx>
                    <wps:bodyPr spcFirstLastPara="1" wrap="square" lIns="91425" tIns="45700" rIns="91425" bIns="45700" anchor="t" anchorCtr="0">
                      <a:noAutofit/>
                    </wps:bodyPr>
                  </wps:wsp>
                </a:graphicData>
              </a:graphic>
            </wp:anchor>
          </w:drawing>
        </mc:Choice>
        <mc:Fallback>
          <w:pict>
            <v:rect id="Rectangle 1396249823" o:spid="_x0000_s1026" style="position:absolute;left:0;text-align:left;margin-left:63pt;margin-top:5pt;width:274.5pt;height:2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" filled="f" stroked="f">
              <v:textbox inset="2.53958mm,1.2694mm,2.53958mm,1.2694mm">
                <w:txbxContent>
                  <w:p w:rsidR="00CE2AFD" w:rsidRDefault="00104E7B">
                    <w:pPr>
                      <w:spacing w:line="240" w:lineRule="auto"/>
                      <w:jc w:val="left"/>
                      <w:textDirection w:val="btLr"/>
                    </w:pPr>
                    <w:r>
                      <w:rPr>
                        <w:rFonts w:ascii="Constantia" w:eastAsia="Constantia" w:hAnsi="Constantia" w:cs="Constantia"/>
                        <w:b/>
                        <w:i/>
                        <w:color w:val="FFFFFF"/>
                        <w:sz w:val="22"/>
                      </w:rPr>
                      <w:t>x</w:t>
                    </w:r>
                    <w:r>
                      <w:rPr>
                        <w:rFonts w:ascii="Constantia" w:eastAsia="Constantia" w:hAnsi="Constantia" w:cs="Constantia"/>
                        <w:b/>
                        <w:color w:val="FFFFFF"/>
                        <w:sz w:val="22"/>
                      </w:rPr>
                      <w:t xml:space="preserve"> (x) (20xx) x-xx </w:t>
                    </w:r>
                    <w:r>
                      <w:rPr>
                        <w:rFonts w:ascii="Constantia" w:eastAsia="Constantia" w:hAnsi="Constantia" w:cs="Constantia"/>
                        <w:b/>
                        <w:color w:val="FFFFFF"/>
                        <w:sz w:val="18"/>
                      </w:rPr>
                      <w:t>(</w:t>
                    </w:r>
                    <w:r>
                      <w:rPr>
                        <w:rFonts w:ascii="Constantia" w:eastAsia="Constantia" w:hAnsi="Constantia" w:cs="Constantia"/>
                        <w:color w:val="FFFFFF"/>
                        <w:sz w:val="18"/>
                      </w:rPr>
                      <w:t>Volume x, Number x, Month 20xx. xx-xx)</w:t>
                    </w:r>
                  </w:p>
                </w:txbxContent>
              </v:textbox>
            </v:rect>
          </w:pict>
        </mc:Fallback>
      </mc:AlternateContent>
    </w:r>
  </w:p>
  <w:p w:rsidR="00CE2AFD" w:rsidRDefault="00CE2AFD"/>
  <w:p w:rsidR="00CE2AFD" w:rsidRDefault="00104E7B">
    <w:pPr>
      <w:rPr>
        <w:rFonts w:ascii="Times New Roman" w:eastAsia="Times New Roman" w:hAnsi="Times New Roman"/>
        <w:sz w:val="18"/>
        <w:szCs w:val="18"/>
      </w:rPr>
    </w:pPr>
    <w:r>
      <w:rPr>
        <w:lang w:eastAsia="en-US"/>
      </w:rPr>
      <mc:AlternateContent>
        <mc:Choice Requires="wps">
          <w:drawing>
            <wp:anchor distT="0" distB="0" distL="114300" distR="114300" simplePos="0" relativeHeight="251661312" behindDoc="0" locked="0" layoutInCell="1" hidden="0" allowOverlap="1">
              <wp:simplePos x="0" y="0"/>
              <wp:positionH relativeFrom="column">
                <wp:posOffset>-342899</wp:posOffset>
              </wp:positionH>
              <wp:positionV relativeFrom="paragraph">
                <wp:posOffset>101600</wp:posOffset>
              </wp:positionV>
              <wp:extent cx="635" cy="28575"/>
              <wp:effectExtent l="0" t="0" r="0" b="0"/>
              <wp:wrapNone/>
              <wp:docPr id="1396249822" name="Straight Arrow Connector 1396249822"/>
              <wp:cNvGraphicFramePr/>
              <a:graphic xmlns:a="http://schemas.openxmlformats.org/drawingml/2006/main">
                <a:graphicData uri="http://schemas.microsoft.com/office/word/2010/wordprocessingShape">
                  <wps:wsp>
                    <wps:cNvCnPr/>
                    <wps:spPr>
                      <a:xfrm>
                        <a:off x="2250693" y="3779683"/>
                        <a:ext cx="6190615" cy="635"/>
                      </a:xfrm>
                      <a:prstGeom prst="straightConnector1">
                        <a:avLst/>
                      </a:prstGeom>
                      <a:noFill/>
                      <a:ln w="28575" cap="flat" cmpd="sng">
                        <a:solidFill>
                          <a:srgbClr val="8296B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-342899</wp:posOffset>
              </wp:positionH>
              <wp:positionV relativeFrom="paragraph">
                <wp:posOffset>101600</wp:posOffset>
              </wp:positionV>
              <wp:extent cx="635" cy="28575"/>
              <wp:effectExtent b="0" l="0" r="0" t="0"/>
              <wp:wrapNone/>
              <wp:docPr id="139624982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35" cy="28575"/>
                      </a:xfrm>
                      <a:prstGeom prst="rect"/>
                      <a:ln/>
                    </pic:spPr>
                  </pic:pic>
                </a:graphicData>
              </a:graphic>
            </wp:anchor>
          </w:drawing>
        </mc:Fallback>
      </mc:AlternateContent>
    </w:r>
  </w:p>
  <w:p w:rsidR="00CE2AFD" w:rsidRDefault="00104E7B">
    <w:pPr>
      <w:pBdr>
        <w:top w:val="nil"/>
        <w:left w:val="nil"/>
        <w:bottom w:val="nil"/>
        <w:right w:val="nil"/>
        <w:between w:val="nil"/>
      </w:pBdr>
      <w:tabs>
        <w:tab w:val="center" w:pos="4252"/>
        <w:tab w:val="right" w:pos="8504"/>
      </w:tabs>
      <w:spacing w:line="240" w:lineRule="auto"/>
      <w:rPr>
        <w:rFonts w:eastAsia="Palatino Linotype" w:cs="Palatino Linotype"/>
      </w:rPr>
    </w:pPr>
    <w:r>
      <w:rPr>
        <w:rFonts w:eastAsia="Palatino Linotype" w:cs="Palatino Linotype"/>
      </w:rPr>
      <w:t xml:space="preserve">DOI: </w:t>
    </w:r>
    <w:hyperlink r:id="rId4">
      <w:r>
        <w:rPr>
          <w:rFonts w:eastAsia="Palatino Linotype" w:cs="Palatino Linotype"/>
          <w:color w:val="0563C1"/>
          <w:u w:val="single"/>
        </w:rPr>
        <w:t>https://doi.org/10.29103/micoms.v3i.219</w:t>
      </w:r>
    </w:hyperlink>
  </w:p>
  <w:p w:rsidR="00CE2AFD" w:rsidRDefault="00CE2AFD">
    <w:pPr>
      <w:pBdr>
        <w:top w:val="nil"/>
        <w:left w:val="nil"/>
        <w:bottom w:val="nil"/>
        <w:right w:val="nil"/>
        <w:between w:val="nil"/>
      </w:pBdr>
      <w:tabs>
        <w:tab w:val="center" w:pos="4252"/>
        <w:tab w:val="right" w:pos="8504"/>
      </w:tabs>
      <w:spacing w:line="240" w:lineRule="auto"/>
      <w:rPr>
        <w:rFonts w:eastAsia="Palatino Linotype" w:cs="Palatino Linotype"/>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85F6C"/>
    <w:multiLevelType w:val="multilevel"/>
    <w:tmpl w:val="F5AA2B6A"/>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D627378"/>
    <w:multiLevelType w:val="multilevel"/>
    <w:tmpl w:val="48208866"/>
    <w:lvl w:ilvl="0">
      <w:start w:val="1"/>
      <w:numFmt w:val="decimal"/>
      <w:pStyle w:val="MDPI37itemiz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FD"/>
    <w:rsid w:val="00104E7B"/>
    <w:rsid w:val="001053D4"/>
    <w:rsid w:val="001B6FC0"/>
    <w:rsid w:val="003E4F0F"/>
    <w:rsid w:val="00441C3C"/>
    <w:rsid w:val="00656340"/>
    <w:rsid w:val="00755079"/>
    <w:rsid w:val="0076038C"/>
    <w:rsid w:val="008B4CF5"/>
    <w:rsid w:val="008E35CC"/>
    <w:rsid w:val="009A7E98"/>
    <w:rsid w:val="009C099E"/>
    <w:rsid w:val="00AB2CD0"/>
    <w:rsid w:val="00C753BE"/>
    <w:rsid w:val="00CE2AFD"/>
    <w:rsid w:val="00D02826"/>
    <w:rsid w:val="00D06D18"/>
    <w:rsid w:val="00D171F1"/>
    <w:rsid w:val="00DB0D25"/>
    <w:rsid w:val="00F4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35B53-9741-4757-AF36-0C8765ED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BE"/>
    <w:pPr>
      <w:spacing w:line="260" w:lineRule="atLeast"/>
    </w:pPr>
    <w:rPr>
      <w:rFonts w:eastAsia="SimSun" w:cs="Times New Roman"/>
      <w:noProof/>
      <w:color w:val="000000"/>
      <w:lang w:eastAsia="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DPI11articletype">
    <w:name w:val="MDPI_1.1_article_type"/>
    <w:next w:val="Normal"/>
    <w:qFormat/>
    <w:rsid w:val="008863BE"/>
    <w:pPr>
      <w:adjustRightInd w:val="0"/>
      <w:snapToGrid w:val="0"/>
      <w:spacing w:before="240"/>
    </w:pPr>
    <w:rPr>
      <w:rFonts w:eastAsia="Times New Roman" w:cs="Times New Roman"/>
      <w:i/>
      <w:snapToGrid w:val="0"/>
      <w:color w:val="000000"/>
      <w:lang w:eastAsia="de-DE" w:bidi="en-US"/>
    </w:rPr>
  </w:style>
  <w:style w:type="paragraph" w:customStyle="1" w:styleId="MDPI12title">
    <w:name w:val="MDPI_1.2_title"/>
    <w:next w:val="Normal"/>
    <w:qFormat/>
    <w:rsid w:val="008863BE"/>
    <w:pPr>
      <w:adjustRightInd w:val="0"/>
      <w:snapToGrid w:val="0"/>
      <w:spacing w:after="240" w:line="240" w:lineRule="atLeast"/>
    </w:pPr>
    <w:rPr>
      <w:rFonts w:eastAsia="Times New Roman" w:cs="Times New Roman"/>
      <w:b/>
      <w:snapToGrid w:val="0"/>
      <w:color w:val="000000"/>
      <w:sz w:val="36"/>
      <w:lang w:eastAsia="de-DE" w:bidi="en-US"/>
    </w:rPr>
  </w:style>
  <w:style w:type="paragraph" w:customStyle="1" w:styleId="MDPI13authornames">
    <w:name w:val="MDPI_1.3_authornames"/>
    <w:next w:val="Normal"/>
    <w:qFormat/>
    <w:rsid w:val="008863BE"/>
    <w:pPr>
      <w:adjustRightInd w:val="0"/>
      <w:snapToGrid w:val="0"/>
      <w:spacing w:after="360" w:line="260" w:lineRule="atLeast"/>
    </w:pPr>
    <w:rPr>
      <w:rFonts w:eastAsia="Times New Roman" w:cs="Times New Roman"/>
      <w:b/>
      <w:color w:val="000000"/>
      <w:lang w:eastAsia="de-DE" w:bidi="en-US"/>
    </w:rPr>
  </w:style>
  <w:style w:type="paragraph" w:customStyle="1" w:styleId="MDPI16affiliation">
    <w:name w:val="MDPI_1.6_affiliation"/>
    <w:qFormat/>
    <w:rsid w:val="008863BE"/>
    <w:pPr>
      <w:adjustRightInd w:val="0"/>
      <w:snapToGrid w:val="0"/>
      <w:spacing w:line="200" w:lineRule="atLeast"/>
      <w:ind w:left="2806" w:hanging="198"/>
    </w:pPr>
    <w:rPr>
      <w:rFonts w:eastAsia="Times New Roman" w:cs="Times New Roman"/>
      <w:color w:val="000000"/>
      <w:sz w:val="16"/>
      <w:szCs w:val="18"/>
      <w:lang w:eastAsia="de-DE" w:bidi="en-US"/>
    </w:rPr>
  </w:style>
  <w:style w:type="paragraph" w:customStyle="1" w:styleId="MDPI17abstract">
    <w:name w:val="MDPI_1.7_abstract"/>
    <w:next w:val="Normal"/>
    <w:qFormat/>
    <w:rsid w:val="008863BE"/>
    <w:pPr>
      <w:adjustRightInd w:val="0"/>
      <w:snapToGrid w:val="0"/>
      <w:spacing w:before="240" w:line="260" w:lineRule="atLeast"/>
      <w:ind w:left="2608"/>
    </w:pPr>
    <w:rPr>
      <w:rFonts w:eastAsia="Times New Roman" w:cs="Times New Roman"/>
      <w:color w:val="000000"/>
      <w:sz w:val="18"/>
      <w:lang w:eastAsia="de-DE" w:bidi="en-US"/>
    </w:rPr>
  </w:style>
  <w:style w:type="paragraph" w:customStyle="1" w:styleId="MDPI18keywords">
    <w:name w:val="MDPI_1.8_keywords"/>
    <w:next w:val="Normal"/>
    <w:qFormat/>
    <w:rsid w:val="008863BE"/>
    <w:pPr>
      <w:adjustRightInd w:val="0"/>
      <w:snapToGrid w:val="0"/>
      <w:spacing w:before="240" w:line="260" w:lineRule="atLeast"/>
      <w:ind w:left="2608"/>
    </w:pPr>
    <w:rPr>
      <w:rFonts w:eastAsia="Times New Roman" w:cs="Times New Roman"/>
      <w:snapToGrid w:val="0"/>
      <w:color w:val="000000"/>
      <w:sz w:val="18"/>
      <w:lang w:eastAsia="de-DE" w:bidi="en-US"/>
    </w:rPr>
  </w:style>
  <w:style w:type="paragraph" w:customStyle="1" w:styleId="MDPI19line">
    <w:name w:val="MDPI_1.9_line"/>
    <w:qFormat/>
    <w:rsid w:val="008863BE"/>
    <w:pPr>
      <w:pBdr>
        <w:bottom w:val="single" w:sz="6" w:space="1" w:color="auto"/>
      </w:pBdr>
      <w:adjustRightInd w:val="0"/>
      <w:snapToGrid w:val="0"/>
      <w:spacing w:after="480" w:line="260" w:lineRule="atLeast"/>
      <w:ind w:left="2608"/>
    </w:pPr>
    <w:rPr>
      <w:rFonts w:eastAsia="Times New Roman" w:cs="Cordia New"/>
      <w:color w:val="000000"/>
      <w:szCs w:val="24"/>
      <w:lang w:eastAsia="de-DE" w:bidi="en-US"/>
    </w:rPr>
  </w:style>
  <w:style w:type="paragraph" w:styleId="Header">
    <w:name w:val="header"/>
    <w:basedOn w:val="Normal"/>
    <w:link w:val="HeaderChar"/>
    <w:uiPriority w:val="99"/>
    <w:unhideWhenUsed/>
    <w:rsid w:val="00455B02"/>
    <w:pPr>
      <w:tabs>
        <w:tab w:val="center" w:pos="4252"/>
        <w:tab w:val="right" w:pos="8504"/>
      </w:tabs>
      <w:snapToGrid w:val="0"/>
    </w:pPr>
  </w:style>
  <w:style w:type="character" w:customStyle="1" w:styleId="HeaderChar">
    <w:name w:val="Header Char"/>
    <w:basedOn w:val="DefaultParagraphFont"/>
    <w:link w:val="Header"/>
    <w:uiPriority w:val="99"/>
    <w:rsid w:val="00455B02"/>
    <w:rPr>
      <w:rFonts w:ascii="Palatino Linotype" w:eastAsia="SimSun" w:hAnsi="Palatino Linotype" w:cs="Times New Roman"/>
      <w:noProof/>
      <w:color w:val="000000"/>
      <w:kern w:val="0"/>
      <w:sz w:val="20"/>
      <w:szCs w:val="20"/>
      <w:lang w:eastAsia="zh-CN"/>
    </w:rPr>
  </w:style>
  <w:style w:type="paragraph" w:styleId="Footer">
    <w:name w:val="footer"/>
    <w:basedOn w:val="Normal"/>
    <w:link w:val="FooterChar"/>
    <w:uiPriority w:val="99"/>
    <w:unhideWhenUsed/>
    <w:rsid w:val="00455B02"/>
    <w:pPr>
      <w:tabs>
        <w:tab w:val="center" w:pos="4252"/>
        <w:tab w:val="right" w:pos="8504"/>
      </w:tabs>
      <w:snapToGrid w:val="0"/>
    </w:pPr>
  </w:style>
  <w:style w:type="character" w:customStyle="1" w:styleId="FooterChar">
    <w:name w:val="Footer Char"/>
    <w:basedOn w:val="DefaultParagraphFont"/>
    <w:link w:val="Footer"/>
    <w:uiPriority w:val="99"/>
    <w:rsid w:val="00455B02"/>
    <w:rPr>
      <w:rFonts w:ascii="Palatino Linotype" w:eastAsia="SimSun" w:hAnsi="Palatino Linotype" w:cs="Times New Roman"/>
      <w:noProof/>
      <w:color w:val="000000"/>
      <w:kern w:val="0"/>
      <w:sz w:val="20"/>
      <w:szCs w:val="20"/>
      <w:lang w:eastAsia="zh-CN"/>
    </w:rPr>
  </w:style>
  <w:style w:type="paragraph" w:customStyle="1" w:styleId="MDPI31text">
    <w:name w:val="MDPI_3.1_text"/>
    <w:qFormat/>
    <w:rsid w:val="00317E30"/>
    <w:pPr>
      <w:adjustRightInd w:val="0"/>
      <w:snapToGrid w:val="0"/>
      <w:spacing w:line="228" w:lineRule="auto"/>
      <w:ind w:left="2608" w:firstLine="425"/>
    </w:pPr>
    <w:rPr>
      <w:rFonts w:eastAsia="Times New Roman" w:cs="Times New Roman"/>
      <w:snapToGrid w:val="0"/>
      <w:color w:val="000000"/>
      <w:lang w:eastAsia="de-DE" w:bidi="en-US"/>
    </w:rPr>
  </w:style>
  <w:style w:type="paragraph" w:customStyle="1" w:styleId="MDPI21heading1">
    <w:name w:val="MDPI_2.1_heading1"/>
    <w:qFormat/>
    <w:rsid w:val="00317E30"/>
    <w:pPr>
      <w:adjustRightInd w:val="0"/>
      <w:snapToGrid w:val="0"/>
      <w:spacing w:before="240" w:after="60" w:line="228" w:lineRule="auto"/>
      <w:ind w:left="2608"/>
      <w:outlineLvl w:val="0"/>
    </w:pPr>
    <w:rPr>
      <w:rFonts w:eastAsia="Times New Roman" w:cs="Times New Roman"/>
      <w:b/>
      <w:snapToGrid w:val="0"/>
      <w:color w:val="000000"/>
      <w:lang w:eastAsia="de-DE" w:bidi="en-US"/>
    </w:rPr>
  </w:style>
  <w:style w:type="paragraph" w:customStyle="1" w:styleId="MDPI32textnoindent">
    <w:name w:val="MDPI_3.2_text_no_indent"/>
    <w:basedOn w:val="MDPI31text"/>
    <w:qFormat/>
    <w:rsid w:val="0040093E"/>
    <w:pPr>
      <w:ind w:firstLine="0"/>
    </w:pPr>
  </w:style>
  <w:style w:type="paragraph" w:customStyle="1" w:styleId="MDPI35textbeforelist">
    <w:name w:val="MDPI_3.5_text_before_list"/>
    <w:qFormat/>
    <w:rsid w:val="0040093E"/>
    <w:pPr>
      <w:adjustRightInd w:val="0"/>
      <w:snapToGrid w:val="0"/>
      <w:spacing w:line="228" w:lineRule="auto"/>
      <w:ind w:left="2608" w:firstLine="425"/>
    </w:pPr>
    <w:rPr>
      <w:rFonts w:eastAsia="Times New Roman" w:cs="Times New Roman"/>
      <w:snapToGrid w:val="0"/>
      <w:color w:val="000000"/>
      <w:lang w:eastAsia="de-DE" w:bidi="en-US"/>
    </w:rPr>
  </w:style>
  <w:style w:type="paragraph" w:customStyle="1" w:styleId="MDPI37itemize">
    <w:name w:val="MDPI_3.7_itemize"/>
    <w:qFormat/>
    <w:rsid w:val="0040093E"/>
    <w:pPr>
      <w:numPr>
        <w:numId w:val="2"/>
      </w:numPr>
      <w:adjustRightInd w:val="0"/>
      <w:snapToGrid w:val="0"/>
      <w:spacing w:line="228" w:lineRule="auto"/>
    </w:pPr>
    <w:rPr>
      <w:rFonts w:eastAsia="Times New Roman" w:cs="Times New Roman"/>
      <w:color w:val="000000"/>
      <w:lang w:eastAsia="de-DE" w:bidi="en-US"/>
    </w:rPr>
  </w:style>
  <w:style w:type="paragraph" w:customStyle="1" w:styleId="MDPI38bullet">
    <w:name w:val="MDPI_3.8_bullet"/>
    <w:qFormat/>
    <w:rsid w:val="0040093E"/>
    <w:pPr>
      <w:tabs>
        <w:tab w:val="num" w:pos="720"/>
      </w:tabs>
      <w:adjustRightInd w:val="0"/>
      <w:snapToGrid w:val="0"/>
      <w:spacing w:line="228" w:lineRule="auto"/>
      <w:ind w:left="720" w:hanging="720"/>
    </w:pPr>
    <w:rPr>
      <w:rFonts w:eastAsia="Times New Roman" w:cs="Times New Roman"/>
      <w:color w:val="000000"/>
      <w:lang w:eastAsia="de-DE" w:bidi="en-US"/>
    </w:rPr>
  </w:style>
  <w:style w:type="paragraph" w:customStyle="1" w:styleId="MDPI39equation">
    <w:name w:val="MDPI_3.9_equation"/>
    <w:qFormat/>
    <w:rsid w:val="0040093E"/>
    <w:pPr>
      <w:adjustRightInd w:val="0"/>
      <w:snapToGrid w:val="0"/>
      <w:spacing w:before="120" w:after="120" w:line="260" w:lineRule="atLeast"/>
      <w:ind w:left="709"/>
      <w:jc w:val="center"/>
    </w:pPr>
    <w:rPr>
      <w:rFonts w:eastAsia="Times New Roman" w:cs="Times New Roman"/>
      <w:snapToGrid w:val="0"/>
      <w:color w:val="000000"/>
      <w:lang w:eastAsia="de-DE" w:bidi="en-US"/>
    </w:rPr>
  </w:style>
  <w:style w:type="paragraph" w:customStyle="1" w:styleId="MDPI3aequationnumber">
    <w:name w:val="MDPI_3.a_equation_number"/>
    <w:qFormat/>
    <w:rsid w:val="0040093E"/>
    <w:pPr>
      <w:spacing w:before="120" w:after="120"/>
      <w:jc w:val="right"/>
    </w:pPr>
    <w:rPr>
      <w:rFonts w:eastAsia="Times New Roman" w:cs="Times New Roman"/>
      <w:snapToGrid w:val="0"/>
      <w:color w:val="000000"/>
      <w:lang w:eastAsia="de-DE" w:bidi="en-US"/>
    </w:rPr>
  </w:style>
  <w:style w:type="paragraph" w:customStyle="1" w:styleId="MDPI41tablecaption">
    <w:name w:val="MDPI_4.1_table_caption"/>
    <w:qFormat/>
    <w:rsid w:val="0040093E"/>
    <w:pPr>
      <w:adjustRightInd w:val="0"/>
      <w:snapToGrid w:val="0"/>
      <w:spacing w:before="240" w:after="120" w:line="228" w:lineRule="auto"/>
      <w:ind w:left="2608"/>
    </w:pPr>
    <w:rPr>
      <w:rFonts w:eastAsia="Times New Roman" w:cs="Cordia New"/>
      <w:color w:val="000000"/>
      <w:sz w:val="18"/>
      <w:lang w:eastAsia="de-DE" w:bidi="en-US"/>
    </w:rPr>
  </w:style>
  <w:style w:type="paragraph" w:customStyle="1" w:styleId="MDPI42tablebody">
    <w:name w:val="MDPI_4.2_table_body"/>
    <w:qFormat/>
    <w:rsid w:val="0040093E"/>
    <w:pPr>
      <w:adjustRightInd w:val="0"/>
      <w:snapToGrid w:val="0"/>
      <w:spacing w:line="260" w:lineRule="atLeast"/>
      <w:jc w:val="center"/>
    </w:pPr>
    <w:rPr>
      <w:rFonts w:eastAsia="Times New Roman" w:cs="Times New Roman"/>
      <w:snapToGrid w:val="0"/>
      <w:color w:val="000000"/>
      <w:lang w:eastAsia="de-DE" w:bidi="en-US"/>
    </w:rPr>
  </w:style>
  <w:style w:type="paragraph" w:customStyle="1" w:styleId="MDPI43tablefooter">
    <w:name w:val="MDPI_4.3_table_footer"/>
    <w:next w:val="MDPI31text"/>
    <w:qFormat/>
    <w:rsid w:val="0040093E"/>
    <w:pPr>
      <w:adjustRightInd w:val="0"/>
      <w:snapToGrid w:val="0"/>
      <w:spacing w:line="228" w:lineRule="auto"/>
      <w:ind w:left="2608"/>
    </w:pPr>
    <w:rPr>
      <w:rFonts w:eastAsia="Times New Roman" w:cs="Cordia New"/>
      <w:color w:val="000000"/>
      <w:sz w:val="18"/>
      <w:lang w:eastAsia="de-DE" w:bidi="en-US"/>
    </w:rPr>
  </w:style>
  <w:style w:type="paragraph" w:customStyle="1" w:styleId="MDPI51figurecaption">
    <w:name w:val="MDPI_5.1_figure_caption"/>
    <w:qFormat/>
    <w:rsid w:val="0040093E"/>
    <w:pPr>
      <w:adjustRightInd w:val="0"/>
      <w:snapToGrid w:val="0"/>
      <w:spacing w:before="120" w:after="240" w:line="228" w:lineRule="auto"/>
      <w:ind w:left="2608"/>
    </w:pPr>
    <w:rPr>
      <w:rFonts w:eastAsia="Times New Roman" w:cs="Times New Roman"/>
      <w:color w:val="000000"/>
      <w:sz w:val="18"/>
      <w:lang w:eastAsia="de-DE" w:bidi="en-US"/>
    </w:rPr>
  </w:style>
  <w:style w:type="paragraph" w:customStyle="1" w:styleId="MDPI52figure">
    <w:name w:val="MDPI_5.2_figure"/>
    <w:qFormat/>
    <w:rsid w:val="0040093E"/>
    <w:pPr>
      <w:adjustRightInd w:val="0"/>
      <w:snapToGrid w:val="0"/>
      <w:spacing w:before="240" w:after="120"/>
      <w:jc w:val="center"/>
    </w:pPr>
    <w:rPr>
      <w:rFonts w:eastAsia="Times New Roman" w:cs="Times New Roman"/>
      <w:snapToGrid w:val="0"/>
      <w:color w:val="000000"/>
      <w:lang w:eastAsia="de-DE" w:bidi="en-US"/>
    </w:rPr>
  </w:style>
  <w:style w:type="paragraph" w:customStyle="1" w:styleId="MDPI23heading3">
    <w:name w:val="MDPI_2.3_heading3"/>
    <w:qFormat/>
    <w:rsid w:val="0040093E"/>
    <w:pPr>
      <w:adjustRightInd w:val="0"/>
      <w:snapToGrid w:val="0"/>
      <w:spacing w:before="60" w:after="60" w:line="228" w:lineRule="auto"/>
      <w:ind w:left="2608"/>
      <w:outlineLvl w:val="2"/>
    </w:pPr>
    <w:rPr>
      <w:rFonts w:eastAsia="Times New Roman" w:cs="Times New Roman"/>
      <w:snapToGrid w:val="0"/>
      <w:color w:val="000000"/>
      <w:lang w:eastAsia="de-DE" w:bidi="en-US"/>
    </w:rPr>
  </w:style>
  <w:style w:type="paragraph" w:customStyle="1" w:styleId="MDPI22heading2">
    <w:name w:val="MDPI_2.2_heading2"/>
    <w:qFormat/>
    <w:rsid w:val="0040093E"/>
    <w:pPr>
      <w:adjustRightInd w:val="0"/>
      <w:snapToGrid w:val="0"/>
      <w:spacing w:before="60" w:after="60" w:line="228" w:lineRule="auto"/>
      <w:ind w:left="2608"/>
      <w:outlineLvl w:val="1"/>
    </w:pPr>
    <w:rPr>
      <w:rFonts w:eastAsia="Times New Roman" w:cs="Times New Roman"/>
      <w:i/>
      <w:noProof/>
      <w:snapToGrid w:val="0"/>
      <w:color w:val="000000"/>
      <w:lang w:eastAsia="de-DE" w:bidi="en-US"/>
    </w:rPr>
  </w:style>
  <w:style w:type="paragraph" w:customStyle="1" w:styleId="MDPI71References">
    <w:name w:val="MDPI_7.1_References"/>
    <w:qFormat/>
    <w:rsid w:val="00720A06"/>
    <w:pPr>
      <w:tabs>
        <w:tab w:val="num" w:pos="720"/>
      </w:tabs>
      <w:adjustRightInd w:val="0"/>
      <w:snapToGrid w:val="0"/>
      <w:spacing w:line="228" w:lineRule="auto"/>
      <w:ind w:left="720" w:hanging="720"/>
    </w:pPr>
    <w:rPr>
      <w:rFonts w:eastAsia="Times New Roman" w:cs="Times New Roman"/>
      <w:color w:val="000000"/>
      <w:sz w:val="18"/>
      <w:lang w:eastAsia="de-DE" w:bidi="en-US"/>
    </w:rPr>
  </w:style>
  <w:style w:type="paragraph" w:customStyle="1" w:styleId="MDPI62BackMatter">
    <w:name w:val="MDPI_6.2_BackMatter"/>
    <w:qFormat/>
    <w:rsid w:val="00720A06"/>
    <w:pPr>
      <w:adjustRightInd w:val="0"/>
      <w:snapToGrid w:val="0"/>
      <w:spacing w:after="120" w:line="228" w:lineRule="auto"/>
      <w:ind w:left="2608"/>
    </w:pPr>
    <w:rPr>
      <w:rFonts w:eastAsia="Times New Roman" w:cs="Times New Roman"/>
      <w:snapToGrid w:val="0"/>
      <w:color w:val="000000"/>
      <w:sz w:val="18"/>
      <w:lang w:bidi="en-US"/>
    </w:rPr>
  </w:style>
  <w:style w:type="paragraph" w:styleId="BalloonText">
    <w:name w:val="Balloon Text"/>
    <w:basedOn w:val="Normal"/>
    <w:link w:val="BalloonTextChar"/>
    <w:uiPriority w:val="99"/>
    <w:semiHidden/>
    <w:unhideWhenUsed/>
    <w:rsid w:val="00964B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BE3"/>
    <w:rPr>
      <w:rFonts w:ascii="Tahoma" w:eastAsia="SimSun" w:hAnsi="Tahoma" w:cs="Tahoma"/>
      <w:noProof/>
      <w:color w:val="000000"/>
      <w:kern w:val="0"/>
      <w:sz w:val="16"/>
      <w:szCs w:val="16"/>
      <w:lang w:eastAsia="zh-CN"/>
    </w:rPr>
  </w:style>
  <w:style w:type="character" w:styleId="Strong">
    <w:name w:val="Strong"/>
    <w:basedOn w:val="DefaultParagraphFont"/>
    <w:uiPriority w:val="22"/>
    <w:qFormat/>
    <w:rsid w:val="00787E3A"/>
    <w:rPr>
      <w:b/>
      <w:bCs/>
    </w:rPr>
  </w:style>
  <w:style w:type="character" w:styleId="Hyperlink">
    <w:name w:val="Hyperlink"/>
    <w:basedOn w:val="DefaultParagraphFont"/>
    <w:uiPriority w:val="99"/>
    <w:unhideWhenUsed/>
    <w:rsid w:val="00883740"/>
    <w:rPr>
      <w:color w:val="0563C1" w:themeColor="hyperlink"/>
      <w:u w:val="single"/>
    </w:rPr>
  </w:style>
  <w:style w:type="character" w:customStyle="1" w:styleId="UnresolvedMention">
    <w:name w:val="Unresolved Mention"/>
    <w:basedOn w:val="DefaultParagraphFont"/>
    <w:uiPriority w:val="99"/>
    <w:semiHidden/>
    <w:unhideWhenUsed/>
    <w:rsid w:val="00883740"/>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NormalWeb">
    <w:name w:val="Normal (Web)"/>
    <w:basedOn w:val="Normal"/>
    <w:uiPriority w:val="99"/>
    <w:semiHidden/>
    <w:unhideWhenUsed/>
    <w:rsid w:val="00755079"/>
    <w:rPr>
      <w:rFonts w:ascii="Times New Roman" w:hAnsi="Times New Roman"/>
      <w:sz w:val="24"/>
      <w:szCs w:val="24"/>
    </w:rPr>
  </w:style>
  <w:style w:type="paragraph" w:styleId="ListParagraph">
    <w:name w:val="List Paragraph"/>
    <w:basedOn w:val="Normal"/>
    <w:uiPriority w:val="34"/>
    <w:qFormat/>
    <w:rsid w:val="00755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93754">
      <w:bodyDiv w:val="1"/>
      <w:marLeft w:val="0"/>
      <w:marRight w:val="0"/>
      <w:marTop w:val="0"/>
      <w:marBottom w:val="0"/>
      <w:divBdr>
        <w:top w:val="none" w:sz="0" w:space="0" w:color="auto"/>
        <w:left w:val="none" w:sz="0" w:space="0" w:color="auto"/>
        <w:bottom w:val="none" w:sz="0" w:space="0" w:color="auto"/>
        <w:right w:val="none" w:sz="0" w:space="0" w:color="auto"/>
      </w:divBdr>
    </w:div>
    <w:div w:id="1151824254">
      <w:bodyDiv w:val="1"/>
      <w:marLeft w:val="0"/>
      <w:marRight w:val="0"/>
      <w:marTop w:val="0"/>
      <w:marBottom w:val="0"/>
      <w:divBdr>
        <w:top w:val="none" w:sz="0" w:space="0" w:color="auto"/>
        <w:left w:val="none" w:sz="0" w:space="0" w:color="auto"/>
        <w:bottom w:val="none" w:sz="0" w:space="0" w:color="auto"/>
        <w:right w:val="none" w:sz="0" w:space="0" w:color="auto"/>
      </w:divBdr>
    </w:div>
    <w:div w:id="1788812065">
      <w:bodyDiv w:val="1"/>
      <w:marLeft w:val="0"/>
      <w:marRight w:val="0"/>
      <w:marTop w:val="0"/>
      <w:marBottom w:val="0"/>
      <w:divBdr>
        <w:top w:val="none" w:sz="0" w:space="0" w:color="auto"/>
        <w:left w:val="none" w:sz="0" w:space="0" w:color="auto"/>
        <w:bottom w:val="none" w:sz="0" w:space="0" w:color="auto"/>
        <w:right w:val="none" w:sz="0" w:space="0" w:color="auto"/>
      </w:divBdr>
    </w:div>
    <w:div w:id="1953707164">
      <w:bodyDiv w:val="1"/>
      <w:marLeft w:val="0"/>
      <w:marRight w:val="0"/>
      <w:marTop w:val="0"/>
      <w:marBottom w:val="0"/>
      <w:divBdr>
        <w:top w:val="none" w:sz="0" w:space="0" w:color="auto"/>
        <w:left w:val="none" w:sz="0" w:space="0" w:color="auto"/>
        <w:bottom w:val="none" w:sz="0" w:space="0" w:color="auto"/>
        <w:right w:val="none" w:sz="0" w:space="0" w:color="auto"/>
      </w:divBdr>
    </w:div>
    <w:div w:id="213701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rsyamsulbahri@unimal.ac.i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hyperlink" Target="https://doi.org/10.29103/micoms.v3i.21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AfxhMVHyM3dZn/QH27uFyeCP/g==">CgMxLjA4AHIhMXdhMWh5aHhsMlpkVEt3dE56QzMxanRwVGFMakQ2allv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200CEE-4A90-4475-80A3-153C2994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ULUNG　Muhammad　sutopo</dc:creator>
  <cp:lastModifiedBy>yusranbani198403@outlook.com</cp:lastModifiedBy>
  <cp:revision>9</cp:revision>
  <dcterms:created xsi:type="dcterms:W3CDTF">2024-11-13T17:23:00Z</dcterms:created>
  <dcterms:modified xsi:type="dcterms:W3CDTF">2024-12-23T04:30:00Z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0x010100DA9DB1DB81154E48A55CFA63A247F4B6</vt:lpwstr>
  </property>
  <property fmtid="{D5CDD505-2E9C-101B-9397-08002B2CF9AE}" pid="3" name="GrammarlyDocumentId">
    <vt:lpwstr>94820a52601f74b8781f1a3740b3cc30f4dacad780b4c8e83663a4cf8dffdac3</vt:lpwstr>
  </property>
</Properties>
</file>